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</w:pPr>
      <w:r>
        <w:rPr>
          <w:rFonts w:ascii="Calibri" w:cs="Calibri" w:eastAsia="Calibri" w:hAnsi="Calibri"/>
          <w:b/>
          <w:bCs/>
          <w:color w:val="A0A0A0"/>
          <w:sz w:val="28"/>
          <w:szCs w:val="28"/>
        </w:rPr>
        <w:t xml:space="preserve">[NOM DE L'ÉTABLISSEMENT]</w:t>
      </w:r>
    </w:p>
    <w:p>
      <w:pPr>
        <w:spacing w:before="0" w:after="6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Archivage et conservation des données LCB-FT</w:t>
      </w:r>
    </w:p>
    <w:p>
      <w:pPr>
        <w:spacing w:before="0"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Durées de conservation, supports, sécurisation et articulation RGPD</w:t>
      </w:r>
    </w:p>
    <w:p>
      <w:pPr>
        <w:pBdr>
          <w:bottom w:val="single" w:color="C0C0C0" w:sz="6" w:space="4"/>
        </w:pBdr>
        <w:spacing w:before="0" w:after="2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Champ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EB-ARCH-001-v1.0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Confidentiel — Usage interne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Archivage LCB-FT — Tous assujettis L.561-2 CMF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Rédacteur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[Nom]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Approbateur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[Responsable Conformité / RCCL]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Date d'approbation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[JJ/MM/AAAA]</w:t>
            </w:r>
          </w:p>
        </w:tc>
      </w:tr>
      <w:tr>
        <w:tc>
          <w:tcPr>
            <w:tcW w:type="dxa" w:w="3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Prochaine révision</w:t>
            </w:r>
          </w:p>
        </w:tc>
        <w:tc>
          <w:tcPr>
            <w:tcW w:type="dxa" w:w="6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[JJ/MM/AAAA + 12 mois]</w:t>
            </w:r>
          </w:p>
        </w:tc>
      </w:tr>
    </w:tbl>
    <w:p>
      <w:pPr>
        <w:spacing w:before="1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Historique des versions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5000"/>
      </w:tblGrid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Auteur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Modifications</w:t>
            </w:r>
          </w:p>
        </w:tc>
      </w:tr>
      <w:tr>
        <w:tc>
          <w:tcPr>
            <w:tcW w:type="dxa" w:w="1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Avril 2026</w:t>
            </w:r>
          </w:p>
        </w:tc>
        <w:tc>
          <w:tcPr>
            <w:tcW w:type="dxa" w:w="1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Early Brief</w:t>
            </w:r>
          </w:p>
        </w:tc>
        <w:tc>
          <w:tcPr>
            <w:tcW w:type="dxa" w:w="5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1F1F1F"/>
                <w:sz w:val="20"/>
                <w:szCs w:val="20"/>
              </w:rPr>
              <w:t xml:space="preserve">Création</w:t>
            </w:r>
          </w:p>
        </w:tc>
      </w:tr>
    </w:tbl>
    <w:p>
      <w:pPr>
        <w:spacing w:before="8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✅  Vérification — sources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L.561-12 et R.561-22 CMF vérifiés sur legifrance.gouv.fr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RGPD Art. 5 et 17 vérifiés — base légale Art. 6.1.c confirmée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EBEBE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Vérifier : cnil.fr — legifrance.gouv.fr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20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1 — Objet et périmètre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procédure définit les obligations de conservation des documents et informations collectés dans le cadre du dispositif LCB-FT, les durées applicables, les formats et supports requis, et l'articulation avec le RGPD.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⚖ 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⚖ BASE LÉGALE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L.561-12 CMF — Conservation des documents liés à la relation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d'affaires : 5 ans après la fin de la relation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R.561-22 CMF — Conservation des documents liés aux opérations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5 ans après l'exécution de l'opération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R.561-38 CMF — Nature des documents à conserver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L.561-25 CMF — Obligation de communication aux autorités compétentes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(ACPR, AMF, Tracfin, autorités judiciaires)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RGPD (Règlement UE 2016/679) — Art. 5 : limitation de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conservation ; Art. 17 : droit à l'effacement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CNIL — Référentiel sectoriel banque et assurance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CONVENTION DE LECTURE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Ce document contient des Notes Early Brief. Elles apportent un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éclairage opérationnel issu de la veille réglementaire Early Brief.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Elles ne modifient pas les obligations légales.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⚠  Point de vigilance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⚠ PRINCIPE FONDAMENTAL — LCB-FT PRIME SUR LE RGPD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cas de conflit apparent entre l'obligation de conservation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LCB-FT (5 ans — L.561-12) et le droit à l'effacement RGPD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(Art. 17), l'obligation légale de conservation LCB-FT prime.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Un client ne peut pas exercer son droit à l'effacement pour des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données dont la conservation est imposée par la loi.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La base légale de traitement est l'obligation légale (Art. 6.1.c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RGPD) — pas le consentement.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 — Tableau des durées de conservation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400"/>
      </w:tblGrid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Catégorie de document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Durée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Point de départ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 D'IDENTIFICATION CLIENT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Pièce d'identité (copie)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 de la relation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Justificatif de domicile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 de la relation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Formulaire KYC (collecte données)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 de la relation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 UBO (actionnariat, BE)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 de la relation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Statuts PM et documents constitutifs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 de la relation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Habilitation RL (Kbis, procuration)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 de la relation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 OPÉRATIONNELS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Ordres et instructions d'opérations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l'opération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Relevés de compte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l'opération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Contrats et avenants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 du contrat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 DE VIGILANCE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Rapports de criblage (sanctions/PPE)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 de la relation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Résultats adverse media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 de la relation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Dossiers EDD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Fin de la relation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Dossiers gel des avoirs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Levée du gel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Déclarations DG Trésor (gel)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ate déclaration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DÉCLARATIONS ET ALERTES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Déclarations de soupçon Tracfin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déclaration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monitoring non déclarées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l'alerte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Examens renforcés (L.561-10-2)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5 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Date de l'examen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 ET CONTRÔLE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Registres de formation LCB-FT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ate de la formation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Plans de contrôle et résultats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ate du contrôle</w:t>
            </w:r>
          </w:p>
        </w:tc>
      </w:tr>
      <w:tr>
        <w:tc>
          <w:tcPr>
            <w:tcW w:type="dxa" w:w="2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Rapports de conformité</w:t>
            </w:r>
          </w:p>
        </w:tc>
        <w:tc>
          <w:tcPr>
            <w:tcW w:type="dxa" w:w="46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ans</w:t>
            </w:r>
          </w:p>
        </w:tc>
        <w:tc>
          <w:tcPr>
            <w:tcW w:type="dxa" w:w="2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ate du rapport</w:t>
            </w:r>
          </w:p>
        </w:tc>
      </w:tr>
    </w:tbl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✎  Note opérationnelle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✎ NOTE EARLY BRIEF — DÉLAI PLUS LONG POSSIBLE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Le délai de 5 ans est un MINIMUM légal. Certains documents peuvent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être conservés plus longtemps pour des raisons probatoires ou en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cas de procédure judiciaire en cours.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En cas de procédure pénale ou civile impliquant un client 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suspendre la destruction des documents jusqu'au terme de la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single" w:color="C0C0C0" w:sz="4"/>
              <w:bottom w:val="none" w:color="FFFFFF" w:sz="0"/>
              <w:right w:val="single" w:color="C0C0C0" w:sz="4"/>
            </w:tcBorders>
            <w:shd w:fill="F5F5F5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procédure, même si le délai de 5 ans est écoulé.</w:t>
            </w:r>
          </w:p>
        </w:tc>
      </w:tr>
      <w:tr>
        <w:tc>
          <w:tcPr>
            <w:tcW w:type="dxa" w:w="92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2"/>
              <w:bottom w:type="dxa" w:w="2"/>
            </w:tcMar>
          </w:tcPr>
          <w:p/>
        </w:tc>
      </w:tr>
    </w:tbl>
    <w:p>
      <w:pPr>
        <w:spacing w:before="80" w:after="0"/>
      </w:pPr>
    </w:p>
    <w:p>
      <w:pPr>
        <w:spacing w:before="6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3 — Formats et supports de conservation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3.1. Exigences de forme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documents conservés doivent permettre leur restitution intégrale et fidèle à la demande des autorités compétentes (ACPR, Tracfin, autorités judiciaires — L.561-25 CMF).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Format papier ou électronique : les deux sont acceptés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format électronique : garantir l'intégrité du document (signature électronique, horodatage, hash)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Si numérisation de documents papier : respecter la norme NF Z 42-013 (ou ISO 13028) pour garantir la valeur probatoire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Indexation obligatoire : les documents doivent être retrouvables par nom de client, date, type de document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3.2. Systèmes et outils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Type de document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Support recommandé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Dossiers KYC et UBO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GED dédiée ou outil KYC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Alertes criblage et résultats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Outil de screening (logs)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Déclarations de soupçon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PORTAIL TRACFIN (archive auto)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Déclarations DG Trésor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PORTAIL TRÉSOR + archive interne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Documents opérationnels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Système bancaire core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Formations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LMS ou registre papier</w:t>
            </w:r>
          </w:p>
        </w:tc>
      </w:tr>
    </w:tbl>
    <w:p>
      <w:pPr>
        <w:spacing w:before="10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3.3. Sécurité et accès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Accès aux archives LCB-FT : restreint aux fonctions habilitées (conformité, audit, direction)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Traçabilité des accès : logger tout accès à un dossier archivé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Chiffrement : les archives numériques doivent être chiffrées (AES-256 minimum)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Sauvegarde : plan de sauvegarde avec copies géographiquement séparées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Disponibilité : capacité à restituer tout document dans un délai raisonnable en cas de demande ACPR</w:t>
      </w:r>
    </w:p>
    <w:p>
      <w:pPr>
        <w:spacing w:before="6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4 — Articulation avec le RGPD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4.1. Base légale de traitement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Les données personnelles collectées dans le cadre LCB-FT ont pour base légale l'obligation légale (Art. 6.1.c RGPD). Cette base légale prime sur le consentement.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4.2. Droits des personnes concernées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Droit RGPD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Application LCB-FT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 d'accès (Art. 15)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 — sauf si communication compromet la finalité LCB-FT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 de rectification (Art. 16)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Applicable pour les erreurs factuelles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 à l'effacement (Art. 17)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applicable pendant la durée de conservation LCB-FT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 à la limitation (Art. 18)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Limité — obligation légale prime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 à la portabilité (Art. 20)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applicable (base légale ≠ consentement)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Droit d'opposition (Art. 21)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Non applicable (obligation légale)</w:t>
            </w:r>
          </w:p>
        </w:tc>
      </w:tr>
    </w:tbl>
    <w:p>
      <w:pPr>
        <w:spacing w:before="10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4.3. Mention d'information (Art. 13-14 RGPD)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L'établissement doit informer les clients de la conservation de leurs données dans le cadre LCB-FT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Durée de conservation : 5 ans après fin de relation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Base légale : obligation légale (L.561-12 CMF)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Destinataires possibles : ACPR, Tracfin, autorités judiciaires (sur réquisition)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Cette mention figure dans la convention de compte / contrat cadre</w:t>
      </w:r>
    </w:p>
    <w:p>
      <w:pPr>
        <w:spacing w:before="60" w:after="0"/>
      </w:pPr>
    </w:p>
    <w:p>
      <w:pPr>
        <w:pStyle w:val="Heading3"/>
        <w:spacing w:before="180" w:after="8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4.4. Purge après expiration du délai</w:t>
      </w: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À l'expiration du délai de conservation de 5 ans 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Purger les données personnelles qui n'ont plus de finalité légale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Documenter les purges effectuées (date, nature des données, volume)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Maintenir les données anonymisées à des fins statistiques si nécessaire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Vérifier l'absence de procédure judiciaire en cours avant purge</w:t>
      </w:r>
    </w:p>
    <w:p>
      <w:pPr>
        <w:spacing w:before="6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5 — Gouvernance et responsabilités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000"/>
      </w:tblGrid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Définition des règles d'archivage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DG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DPO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Mise en place des outils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DSI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Conservation opérationnelle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Métiers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Audit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des durées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Audit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DG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Purge après délai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DSI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DPO/RCCL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Communication aux autorités</w:t>
            </w:r>
          </w:p>
        </w:tc>
        <w:tc>
          <w:tcPr>
            <w:tcW w:type="dxa" w:w="3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RCCL</w:t>
            </w:r>
          </w:p>
        </w:tc>
        <w:tc>
          <w:tcPr>
            <w:tcW w:type="dxa" w:w="2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DG</w:t>
            </w:r>
          </w:p>
        </w:tc>
        <w:tc>
          <w:tcPr>
            <w:tcW w:type="dxa" w:w="20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0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*R = Réalisateur | A = Approbateur | I = Informé | RCCL = Responsable Conformité | DPO = Délégué Protection Données*</w:t>
      </w:r>
    </w:p>
    <w:p>
      <w:pPr>
        <w:spacing w:before="6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6 — Contrôles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annuel : vérification par échantillonnage de la complétude et de l'accessibilité des dossiers archivés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triennal : audit complet des durées de conservation appliquées vs durées légales</w:t>
      </w: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Contrôle ad hoc : simulation d'une demande ACPR — capacité à restituer un dossier complet en moins de 48 heures</w:t>
      </w:r>
    </w:p>
    <w:p>
      <w:pPr>
        <w:spacing w:before="60" w:after="0"/>
      </w:pPr>
    </w:p>
    <w:p>
      <w:pPr>
        <w:spacing w:before="60" w:after="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7 — Documents associés</w:t>
      </w:r>
    </w:p>
    <w:p>
      <w:pPr>
        <w:spacing w:before="6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Document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EBE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20"/>
                <w:szCs w:val="20"/>
              </w:rPr>
              <w:t xml:space="preserve">Référence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Politique générale LCB-FT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EB-POL-001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Contrôle permanent LCB-FT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EB-CTRL-001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Entrée en relation PP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EB-KYC-001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Entrée en relation PM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EB-KYC-002</w:t>
            </w:r>
          </w:p>
        </w:tc>
      </w:tr>
      <w:tr>
        <w:tc>
          <w:tcPr>
            <w:tcW w:type="dxa" w:w="34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Déclaration de soupçon Tracfin</w:t>
            </w:r>
          </w:p>
        </w:tc>
        <w:tc>
          <w:tcPr>
            <w:tcW w:type="dxa" w:w="5800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20"/>
                <w:szCs w:val="20"/>
              </w:rPr>
              <w:t xml:space="preserve">EB-TRC-001</w:t>
            </w:r>
          </w:p>
        </w:tc>
      </w:tr>
    </w:tbl>
    <w:p>
      <w:pPr>
        <w:spacing w:before="100" w:after="0"/>
      </w:pPr>
    </w:p>
    <w:p>
      <w:pPr>
        <w:spacing w:before="60" w:after="0"/>
      </w:pPr>
    </w:p>
    <w:p>
      <w:pPr>
        <w:spacing w:before="60" w:after="80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*Document produit par Early Brief — Veille réglementaire augmentée*</w:t>
      </w:r>
    </w:p>
    <w:p>
      <w:pPr>
        <w:spacing w:before="60" w:after="0"/>
      </w:pPr>
    </w:p>
    <w:sectPr>
      <w:headerReference w:type="default" r:id="rId6"/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C0" w:sz="4" w:space="4"/>
      </w:pBdr>
      <w:spacing w:before="60" w:after="0"/>
    </w:pPr>
    <w:r>
      <w:rPr>
        <w:rFonts w:ascii="Calibri" w:cs="Calibri" w:eastAsia="Calibri" w:hAnsi="Calibri"/>
        <w:color w:val="A0A0A0"/>
        <w:sz w:val="16"/>
        <w:szCs w:val="16"/>
      </w:rPr>
      <w:t xml:space="preserve">EB-ARCH-001-v1.0   —   Confidentiel   —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0C0" w:sz="4" w:space="4"/>
      </w:pBdr>
      <w:spacing w:before="0" w:after="60"/>
    </w:pPr>
    <w:r>
      <w:rPr>
        <w:rFonts w:ascii="Courier New" w:cs="Courier New" w:eastAsia="Courier New" w:hAnsi="Courier New"/>
        <w:color w:val="A0A0A0"/>
        <w:sz w:val="18"/>
        <w:szCs w:val="18"/>
      </w:rPr>
      <w:t xml:space="preserve">EB-ARCH-001-v1.0</w:t>
    </w:r>
    <w:r>
      <w:rPr>
        <w:rFonts w:ascii="Calibri" w:cs="Calibri" w:eastAsia="Calibri" w:hAnsi="Calibri"/>
        <w:color w:val="A0A0A0"/>
        <w:sz w:val="18"/>
        <w:szCs w:val="18"/>
      </w:rPr>
      <w:t xml:space="preserve">   —   </w:t>
    </w:r>
    <w:r>
      <w:rPr>
        <w:rFonts w:ascii="Calibri" w:cs="Calibri" w:eastAsia="Calibri" w:hAnsi="Calibri"/>
        <w:color w:val="595959"/>
        <w:sz w:val="18"/>
        <w:szCs w:val="18"/>
      </w:rPr>
      <w:t xml:space="preserve">Archivage et conservation des données LCB-FT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1F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2026-04-10T16:44:32.562Z</dcterms:created>
  <dcterms:modified xsi:type="dcterms:W3CDTF">2026-04-10T16:44:32.562Z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