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40"/>
      </w:pPr>
      <w:r>
        <w:rPr>
          <w:rFonts w:ascii="Calibri" w:cs="Calibri" w:eastAsia="Calibri" w:hAnsi="Calibri"/>
          <w:b/>
          <w:bCs/>
          <w:color w:val="A0A0A0"/>
          <w:sz w:val="28"/>
          <w:szCs w:val="28"/>
        </w:rPr>
        <w:t xml:space="preserve">[NOM DE L'ÉTABLISSEMENT]</w:t>
      </w:r>
    </w:p>
    <w:p>
      <w:pPr>
        <w:spacing w:before="0" w:after="60"/>
      </w:pPr>
      <w:r>
        <w:rPr>
          <w:rFonts w:ascii="Calibri" w:cs="Calibri" w:eastAsia="Calibri" w:hAnsi="Calibri"/>
          <w:b/>
          <w:bCs/>
          <w:color w:val="000000"/>
          <w:sz w:val="40"/>
          <w:szCs w:val="40"/>
        </w:rPr>
        <w:t xml:space="preserve">Gel des avoirs — DG Trésor</w:t>
      </w:r>
    </w:p>
    <w:p>
      <w:pPr>
        <w:spacing w:before="0" w:after="40"/>
      </w:pPr>
      <w:r>
        <w:rPr>
          <w:rFonts w:ascii="Calibri" w:cs="Calibri" w:eastAsia="Calibri" w:hAnsi="Calibri"/>
          <w:i/>
          <w:iCs/>
          <w:color w:val="595959"/>
          <w:sz w:val="22"/>
          <w:szCs w:val="22"/>
        </w:rPr>
        <w:t xml:space="preserve">Procédure de gel, déclaration et levée des mesures restrictives</w:t>
      </w:r>
    </w:p>
    <w:p>
      <w:pPr>
        <w:pBdr>
          <w:bottom w:val="single" w:color="C0C0C0" w:sz="6" w:space="4"/>
        </w:pBdr>
        <w:spacing w:before="0"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Champ</w:t>
            </w:r>
          </w:p>
        </w:tc>
        <w:tc>
          <w:tcPr>
            <w:tcW w:type="dxa" w:w="6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Valeur</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Référence</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EB-GEL-001-v1.0</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Version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Classification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Confidentiel — Usage interne</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Périmètre</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Gel des avoirs — Tous assujettis L.561-2 CMF et art. L.562-1 CMF</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Rédacteur</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[Nom]</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Approbateur</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[Responsable Conformité / RCCL]</w:t>
            </w:r>
          </w:p>
        </w:tc>
      </w:tr>
      <w:tr>
        <w:tc>
          <w:tcPr>
            <w:tcW w:type="dxa" w:w="3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Date d'approbation</w:t>
            </w:r>
          </w:p>
        </w:tc>
        <w:tc>
          <w:tcPr>
            <w:tcW w:type="dxa" w:w="6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w:t>
            </w:r>
          </w:p>
        </w:tc>
      </w:tr>
      <w:tr>
        <w:tc>
          <w:tcPr>
            <w:tcW w:type="dxa" w:w="3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Prochaine révision</w:t>
            </w:r>
          </w:p>
        </w:tc>
        <w:tc>
          <w:tcPr>
            <w:tcW w:type="dxa" w:w="60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[JJ/MM/AAAA + 12 mois]</w:t>
            </w:r>
          </w:p>
        </w:tc>
      </w:tr>
    </w:tbl>
    <w:p>
      <w:pPr>
        <w:spacing w:before="160" w:after="0"/>
      </w:pPr>
    </w:p>
    <w:p>
      <w:pPr>
        <w:pStyle w:val="Heading2"/>
        <w:spacing w:before="240" w:after="100"/>
      </w:pPr>
      <w:r>
        <w:rPr>
          <w:rFonts w:ascii="Calibri" w:cs="Calibri" w:eastAsia="Calibri" w:hAnsi="Calibri"/>
          <w:b/>
          <w:bCs/>
          <w:color w:val="000000"/>
          <w:sz w:val="24"/>
          <w:szCs w:val="24"/>
        </w:rPr>
        <w:t xml:space="preserve">Historique des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5000"/>
      </w:tblGrid>
      <w:tr>
        <w:tc>
          <w:tcPr>
            <w:tcW w:type="dxa" w:w="12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Version</w:t>
            </w:r>
          </w:p>
        </w:tc>
        <w:tc>
          <w:tcPr>
            <w:tcW w:type="dxa" w:w="14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Date</w:t>
            </w:r>
          </w:p>
        </w:tc>
        <w:tc>
          <w:tcPr>
            <w:tcW w:type="dxa" w:w="16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Auteur</w:t>
            </w:r>
          </w:p>
        </w:tc>
        <w:tc>
          <w:tcPr>
            <w:tcW w:type="dxa" w:w="5000"/>
            <w:tcBorders>
              <w:top w:val="single" w:color="C0C0C0" w:sz="4"/>
              <w:left w:val="single" w:color="C0C0C0" w:sz="4"/>
              <w:bottom w:val="single" w:color="C0C0C0" w:sz="4"/>
              <w:right w:val="single" w:color="C0C0C0" w:sz="4"/>
            </w:tcBorders>
            <w:shd w:fill="EBEBEB" w:val="clear"/>
            <w:tcMar>
              <w:top w:type="dxa" w:w="80"/>
              <w:left w:type="dxa" w:w="120"/>
              <w:bottom w:type="dxa" w:w="80"/>
              <w:right w:type="dxa" w:w="120"/>
            </w:tcMar>
          </w:tcPr>
          <w:p>
            <w:r>
              <w:rPr>
                <w:rFonts w:ascii="Calibri" w:cs="Calibri" w:eastAsia="Calibri" w:hAnsi="Calibri"/>
                <w:b/>
                <w:bCs/>
                <w:color w:val="1F1F1F"/>
                <w:sz w:val="20"/>
                <w:szCs w:val="20"/>
              </w:rPr>
              <w:t xml:space="preserve">Modifications</w:t>
            </w:r>
          </w:p>
        </w:tc>
      </w:tr>
      <w:tr>
        <w:tc>
          <w:tcPr>
            <w:tcW w:type="dxa" w:w="1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1.0</w:t>
            </w:r>
          </w:p>
        </w:tc>
        <w:tc>
          <w:tcPr>
            <w:tcW w:type="dxa" w:w="1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Avril 2026</w:t>
            </w:r>
          </w:p>
        </w:tc>
        <w:tc>
          <w:tcPr>
            <w:tcW w:type="dxa" w:w="1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Early Brief</w:t>
            </w:r>
          </w:p>
        </w:tc>
        <w:tc>
          <w:tcPr>
            <w:tcW w:type="dxa" w:w="50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color w:val="1F1F1F"/>
                <w:sz w:val="20"/>
                <w:szCs w:val="20"/>
              </w:rPr>
              <w:t xml:space="preserve">Création — procédure de gel dédiée</w:t>
            </w:r>
          </w:p>
        </w:tc>
      </w:tr>
    </w:tbl>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EBEBEB" w:val="clear"/>
            <w:tcMar>
              <w:top w:type="dxa" w:w="80"/>
              <w:left w:type="dxa" w:w="160"/>
              <w:bottom w:type="dxa" w:w="40"/>
              <w:right w:type="dxa" w:w="160"/>
            </w:tcMar>
          </w:tcPr>
          <w:p>
            <w:r>
              <w:rPr>
                <w:rFonts w:ascii="Calibri" w:cs="Calibri" w:eastAsia="Calibri" w:hAnsi="Calibri"/>
                <w:b/>
                <w:bCs/>
                <w:color w:val="1F1F1F"/>
                <w:sz w:val="20"/>
                <w:szCs w:val="20"/>
              </w:rPr>
              <w:t xml:space="preserve">✅  Vérification — sources</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L.562-4 CMF vérifié sur legifrance.gouv.fr</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Portail DG Trésor : gels.tresor.gouv.fr</w:t>
            </w:r>
          </w:p>
        </w:tc>
      </w:tr>
      <w:tr>
        <w:tc>
          <w:tcPr>
            <w:tcW w:type="dxa" w:w="9200"/>
            <w:tcBorders>
              <w:top w:val="none" w:color="FFFFFF" w:sz="0"/>
              <w:left w:val="single" w:color="C0C0C0" w:sz="4"/>
              <w:bottom w:val="none" w:color="FFFFFF" w:sz="0"/>
              <w:right w:val="single" w:color="C0C0C0" w:sz="4"/>
            </w:tcBorders>
            <w:shd w:fill="EBEBEB"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Vérifier : gels.tresor.gouv.fr — eur-lex.europa.eu (règlements sanctions UE)</w:t>
            </w:r>
          </w:p>
        </w:tc>
      </w:tr>
      <w:tr>
        <w:tc>
          <w:tcPr>
            <w:tcW w:type="dxa" w:w="9200"/>
            <w:tcBorders>
              <w:top w:val="single" w:color="C0C0C0" w:sz="4"/>
              <w:left w:val="single" w:color="C0C0C0" w:sz="4"/>
              <w:bottom w:val="single" w:color="C0C0C0" w:sz="4"/>
              <w:right w:val="single" w:color="C0C0C0" w:sz="4"/>
            </w:tcBorders>
            <w:shd w:fill="EBEBEB" w:val="clear"/>
            <w:tcMar>
              <w:top w:type="dxa" w:w="2"/>
              <w:bottom w:type="dxa" w:w="2"/>
            </w:tcMar>
          </w:tcPr>
          <w:p/>
        </w:tc>
      </w:tr>
    </w:tbl>
    <w:p>
      <w:pPr>
        <w:spacing w:before="200" w:after="0"/>
      </w:pPr>
    </w:p>
    <w:p>
      <w:pPr>
        <w:pStyle w:val="Heading2"/>
        <w:spacing w:before="240" w:after="100"/>
      </w:pPr>
      <w:r>
        <w:rPr>
          <w:rFonts w:ascii="Calibri" w:cs="Calibri" w:eastAsia="Calibri" w:hAnsi="Calibri"/>
          <w:b/>
          <w:bCs/>
          <w:color w:val="000000"/>
          <w:sz w:val="24"/>
          <w:szCs w:val="24"/>
        </w:rPr>
        <w:t xml:space="preserve">1 — Objet et périmètre</w:t>
      </w:r>
    </w:p>
    <w:p>
      <w:pPr>
        <w:spacing w:before="60" w:after="0"/>
      </w:pPr>
    </w:p>
    <w:p>
      <w:pPr>
        <w:spacing w:before="60" w:after="80"/>
      </w:pPr>
      <w:r>
        <w:rPr>
          <w:rFonts w:ascii="Calibri" w:cs="Calibri" w:eastAsia="Calibri" w:hAnsi="Calibri"/>
          <w:color w:val="1F1F1F"/>
          <w:sz w:val="22"/>
          <w:szCs w:val="22"/>
        </w:rPr>
        <w:t xml:space="preserve">Cette procédure définit les 5 actions immédiates à effectuer lors de la détection d'un match confirmé sur les listes de gel des avoirs, les mesures de gestion du compte gelé, et les modalités de déclaration à la Direction Générale du Trésor (DG Trésor).</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BASE LÉGALE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L.562-1 CMF — Définition du gel des avoirs et des mesures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restrictives applicables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L.562-2 CMF — Périmètre des avoirs soumis au gel</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L.562-4 CMF — Obligation de gel immédiat sans délai</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L.562-4-1 CMF — Obligations renforcées pour les assujettis L.561-2</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L.562-5 CMF — Déclaration obligatoire à la DG Trésor dans 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meilleurs délais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L.562-6 CMF — Interdiction de contournement (tipping-off)</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L.562-7 CMF — Autorisation de déblocage ponctuel (dépenses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essentielles)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L.574-3 CMF → art. 459 code des douanes — Sanctions pénales :</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jusqu'à 5 ans d'emprisonnement + amende jusqu'à 2× le montant gelé</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Règlements UE sanctions (art. 215 TFUE) — Application directe dans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l'ordre juridique français</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CONVENTION DE LECTURE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Ce document contient des Notes Early Brief. Elles apportent un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éclairage opérationnel issu de la veille réglementaire Early Brief.</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Elles ne modifient pas les obligations légales.</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Point de vigilance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PRINCIPE FONDAMENTAL — OBLIGATION LÉGALE IMPÉRATIVE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Le gel des avoirs est une obligation légale à EXÉCUTION IMMÉDIATE.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Il ne relève PAS de l'approche par les risques.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Si une personne est désignée sur les listes de gel : GEL IMMÉDIAT,</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sans délai, sans possibilité d'appréciation.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Toute hésitation, tout délai non justifié, toute opération permise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après identification du match = infraction pénale (L.574-3 CMF).</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pStyle w:val="Heading3"/>
        <w:spacing w:before="180" w:after="80"/>
      </w:pPr>
      <w:r>
        <w:rPr>
          <w:rFonts w:ascii="Calibri" w:cs="Calibri" w:eastAsia="Calibri" w:hAnsi="Calibri"/>
          <w:b/>
          <w:bCs/>
          <w:color w:val="1F1F1F"/>
          <w:sz w:val="22"/>
          <w:szCs w:val="22"/>
        </w:rPr>
        <w:t xml:space="preserve">1.1. Ce que couvre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Détection et qualification d'un match gel des avoirs confirmé</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Les 5 actions immédiates obligatoires (gel, interdiction, déclaration, abstention, documentation)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Gestion du compte ou de la relation en régime de gel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Déclaration à la DG Trésor (modalités et délais)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Demandes de déblocage pour dépenses essentielles (L.562-7)</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Levée du gel (radiation des listes)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Articulation avec la déclaration de soupçon Tracfin</w:t>
      </w:r>
    </w:p>
    <w:p>
      <w:pPr>
        <w:spacing w:before="60" w:after="0"/>
      </w:pPr>
    </w:p>
    <w:p>
      <w:pPr>
        <w:pStyle w:val="Heading3"/>
        <w:spacing w:before="180" w:after="80"/>
      </w:pPr>
      <w:r>
        <w:rPr>
          <w:rFonts w:ascii="Calibri" w:cs="Calibri" w:eastAsia="Calibri" w:hAnsi="Calibri"/>
          <w:b/>
          <w:bCs/>
          <w:color w:val="1F1F1F"/>
          <w:sz w:val="22"/>
          <w:szCs w:val="22"/>
        </w:rPr>
        <w:t xml:space="preserve">1.2. Ce que ne couvre pas cette procédure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Criblage initial et traitement des alertes → EB-SCR-001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PPE (détection et mesures de vigilance) → EB-PEP-001</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Adverse media → EB-SCR-002</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Déclaration de soupçon Tracfin → EB-TRC-001</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2 — Sources des listes de gel</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Liste</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Source / URL</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Mise à jour</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Liste nationale (DG Trésor)</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gels.tresor.gouv.fr</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Quotidienne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Liste UE (règlements sanctions)</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eur-lex.europa.eu / sanctions-map</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Continue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Liste ONU (CSNU)</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un.org/securitycouncil/sanctions</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Continue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Liste OFAC (USA)</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ofac.treas.gov/SDN</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Continue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Liste OFSI (UK)</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gov.uk/government/publications</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Continue</w:t>
            </w:r>
          </w:p>
        </w:tc>
      </w:tr>
    </w:tbl>
    <w:p>
      <w:pPr>
        <w:spacing w:before="10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PRIMAUTÉ DES RÈGLEMENTS UE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Les règlements UE de sanctions s'appliquent directement en France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sans transposition. En cas de divergence entre la liste nationale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DG Trésor et une liste UE, la liste UE prime (art. 55 TFUE).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Un établissement doit cribler sur TOUTES les listes applicables,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pas seulement sur la liste DG Trésor.</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3 — Parcours de traitement — Les 5 actions immédiates</w:t>
      </w:r>
    </w:p>
    <w:p>
      <w:pPr>
        <w:spacing w:before="60" w:after="0"/>
      </w:pPr>
    </w:p>
    <w:p>
      <w:pPr>
        <w:spacing w:before="60" w:after="80"/>
      </w:pPr>
      <w:r>
        <w:rPr>
          <w:rFonts w:ascii="Calibri" w:cs="Calibri" w:eastAsia="Calibri" w:hAnsi="Calibri"/>
          <w:color w:val="1F1F1F"/>
          <w:sz w:val="22"/>
          <w:szCs w:val="22"/>
        </w:rPr>
        <w:t xml:space="preserve">Dès confirmation d'un match gel des avoirs (vrai positif — voir EB-SCR-001 pour la qualification) :</w:t>
      </w:r>
    </w:p>
    <w:p>
      <w:pPr>
        <w:spacing w:before="60" w:after="0"/>
      </w:pPr>
    </w:p>
    <w:p>
      <w:pPr>
        <w:pStyle w:val="Heading3"/>
        <w:spacing w:before="180" w:after="80"/>
      </w:pPr>
      <w:r>
        <w:rPr>
          <w:rFonts w:ascii="Calibri" w:cs="Calibri" w:eastAsia="Calibri" w:hAnsi="Calibri"/>
          <w:b/>
          <w:bCs/>
          <w:color w:val="1F1F1F"/>
          <w:sz w:val="22"/>
          <w:szCs w:val="22"/>
        </w:rPr>
        <w:t xml:space="preserve">Action 1 — GEL IMMÉDIAT des avoirs</w:t>
      </w:r>
    </w:p>
    <w:p>
      <w:pPr>
        <w:spacing w:before="60" w:after="0"/>
      </w:pPr>
    </w:p>
    <w:p>
      <w:pPr>
        <w:spacing w:before="60" w:after="80"/>
      </w:pPr>
      <w:r>
        <w:rPr>
          <w:rFonts w:ascii="Calibri" w:cs="Calibri" w:eastAsia="Calibri" w:hAnsi="Calibri"/>
          <w:color w:val="1F1F1F"/>
          <w:sz w:val="22"/>
          <w:szCs w:val="22"/>
        </w:rPr>
        <w:t xml:space="preserve">Bloquer immédiatement l'ensemble des avoirs de la personne désignée détenus ou contrôlés par l'établissement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Comptes bancaires (tous les comptes, dans toutes les devises)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Instruments financiers détenus en compte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Coffres-forts et contenus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Tout avoir dont la personne désignée est bénéficiaire économique</w:t>
      </w:r>
    </w:p>
    <w:p>
      <w:pPr>
        <w:spacing w:before="60" w:after="0"/>
      </w:pPr>
    </w:p>
    <w:p>
      <w:pPr>
        <w:spacing w:before="60" w:after="80"/>
      </w:pPr>
      <w:r>
        <w:rPr>
          <w:rFonts w:ascii="Calibri" w:cs="Calibri" w:eastAsia="Calibri" w:hAnsi="Calibri"/>
          <w:color w:val="1F1F1F"/>
          <w:sz w:val="22"/>
          <w:szCs w:val="22"/>
        </w:rPr>
        <w:t xml:space="preserve">Le gel s'applique IMMÉDIATEMENT, avant toute déclaration, avant toute consultation hiérarchique.</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Action 2 — INTERDICTION de toute opération</w:t>
      </w:r>
    </w:p>
    <w:p>
      <w:pPr>
        <w:spacing w:before="60" w:after="0"/>
      </w:pPr>
    </w:p>
    <w:p>
      <w:pPr>
        <w:spacing w:before="60" w:after="80"/>
      </w:pPr>
      <w:r>
        <w:rPr>
          <w:rFonts w:ascii="Calibri" w:cs="Calibri" w:eastAsia="Calibri" w:hAnsi="Calibri"/>
          <w:color w:val="1F1F1F"/>
          <w:sz w:val="22"/>
          <w:szCs w:val="22"/>
        </w:rPr>
        <w:t xml:space="preserve">Bloquer toute opération sur les avoirs gelés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Aucun virement sortant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Aucun retrait d'espèces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Aucune mise à disposition de fonds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Aucune cession d'actifs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Aucune compensation ou netting</w:t>
      </w:r>
    </w:p>
    <w:p>
      <w:pPr>
        <w:spacing w:before="60" w:after="0"/>
      </w:pPr>
    </w:p>
    <w:p>
      <w:pPr>
        <w:spacing w:before="60" w:after="80"/>
      </w:pPr>
      <w:r>
        <w:rPr>
          <w:rFonts w:ascii="Calibri" w:cs="Calibri" w:eastAsia="Calibri" w:hAnsi="Calibri"/>
          <w:color w:val="1F1F1F"/>
          <w:sz w:val="22"/>
          <w:szCs w:val="22"/>
        </w:rPr>
        <w:t xml:space="preserve">Exception : les dépenses essentielles peuvent être autorisées sur demande formelle auprès de la DG Trésor (L.562-7) — voir section 5.</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Action 3 — DÉCLARATION à la DG Trésor (L.562-5)</w:t>
      </w:r>
    </w:p>
    <w:p>
      <w:pPr>
        <w:spacing w:before="60" w:after="0"/>
      </w:pPr>
    </w:p>
    <w:p>
      <w:pPr>
        <w:spacing w:before="60" w:after="80"/>
      </w:pPr>
      <w:r>
        <w:rPr>
          <w:rFonts w:ascii="Calibri" w:cs="Calibri" w:eastAsia="Calibri" w:hAnsi="Calibri"/>
          <w:color w:val="1F1F1F"/>
          <w:sz w:val="22"/>
          <w:szCs w:val="22"/>
        </w:rPr>
        <w:t xml:space="preserve">Déclarer le gel à la DG Trésor dans les meilleurs délais via le portail officiel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URL : gels.tresor.gouv.fr (espace déclarant)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Contenu de la déclaration : identité de la personne désignée, nature et montant des avoirs gelés, date et heure du gel effectif, coordonnées du déclarant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Conserver l'accusé de réception de la déclaration au dossier</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0C0C0" w:sz="4"/>
              <w:left w:val="single" w:color="C0C0C0" w:sz="4"/>
              <w:bottom w:val="single" w:color="C0C0C0" w:sz="4"/>
              <w:right w:val="single" w:color="C0C0C0" w:sz="4"/>
            </w:tcBorders>
            <w:shd w:fill="F5F5F5" w:val="clear"/>
            <w:tcMar>
              <w:top w:type="dxa" w:w="80"/>
              <w:left w:type="dxa" w:w="160"/>
              <w:bottom w:type="dxa" w:w="40"/>
              <w:right w:type="dxa" w:w="160"/>
            </w:tcMar>
          </w:tcPr>
          <w:p>
            <w:r>
              <w:rPr>
                <w:rFonts w:ascii="Calibri" w:cs="Calibri" w:eastAsia="Calibri" w:hAnsi="Calibri"/>
                <w:b/>
                <w:bCs/>
                <w:color w:val="1F1F1F"/>
                <w:sz w:val="20"/>
                <w:szCs w:val="20"/>
              </w:rPr>
              <w:t xml:space="preserve">✎  Note opérationnelle</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 NOTE EARLY BRIEF — DÉLAI DE DÉCLARATION</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L.562-5 exige la déclaration « dans les meilleurs délais ».</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En pratique, l'ACPR attend une déclaration dans les 24 à 48 heures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suivant le gel. Ne pas attendre la levée de doute — déclarer dès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que le gel est effectif, même si des vérifications complémentaires</w:t>
            </w:r>
          </w:p>
        </w:tc>
      </w:tr>
      <w:tr>
        <w:tc>
          <w:tcPr>
            <w:tcW w:type="dxa" w:w="9200"/>
            <w:tcBorders>
              <w:top w:val="none" w:color="FFFFFF" w:sz="0"/>
              <w:left w:val="single" w:color="C0C0C0" w:sz="4"/>
              <w:bottom w:val="none" w:color="FFFFFF" w:sz="0"/>
              <w:right w:val="single" w:color="C0C0C0" w:sz="4"/>
            </w:tcBorders>
            <w:shd w:fill="F5F5F5" w:val="clear"/>
            <w:tcMar>
              <w:top w:type="dxa" w:w="20"/>
              <w:left w:type="dxa" w:w="160"/>
              <w:bottom w:type="dxa" w:w="20"/>
              <w:right w:type="dxa" w:w="160"/>
            </w:tcMar>
          </w:tcPr>
          <w:p>
            <w:pPr>
              <w:spacing w:before="20" w:after="20"/>
            </w:pPr>
            <w:r>
              <w:rPr>
                <w:rFonts w:ascii="Calibri" w:cs="Calibri" w:eastAsia="Calibri" w:hAnsi="Calibri"/>
                <w:color w:val="595959"/>
                <w:sz w:val="20"/>
                <w:szCs w:val="20"/>
              </w:rPr>
              <w:t xml:space="preserve">sont en cours.</w:t>
            </w:r>
          </w:p>
        </w:tc>
      </w:tr>
      <w:tr>
        <w:tc>
          <w:tcPr>
            <w:tcW w:type="dxa" w:w="9200"/>
            <w:tcBorders>
              <w:top w:val="single" w:color="C0C0C0" w:sz="4"/>
              <w:left w:val="single" w:color="C0C0C0" w:sz="4"/>
              <w:bottom w:val="single" w:color="C0C0C0" w:sz="4"/>
              <w:right w:val="single" w:color="C0C0C0" w:sz="4"/>
            </w:tcBorders>
            <w:shd w:fill="F5F5F5" w:val="clear"/>
            <w:tcMar>
              <w:top w:type="dxa" w:w="2"/>
              <w:bottom w:type="dxa" w:w="2"/>
            </w:tcMar>
          </w:tcPr>
          <w:p/>
        </w:tc>
      </w:tr>
    </w:tbl>
    <w:p>
      <w:pPr>
        <w:spacing w:before="80" w:after="0"/>
      </w:pP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Action 4 — ABSTENTION de toute information à la personne désignée</w:t>
      </w:r>
    </w:p>
    <w:p>
      <w:pPr>
        <w:spacing w:before="60" w:after="0"/>
      </w:pPr>
    </w:p>
    <w:p>
      <w:pPr>
        <w:spacing w:before="60" w:after="80"/>
      </w:pPr>
      <w:r>
        <w:rPr>
          <w:rFonts w:ascii="Calibri" w:cs="Calibri" w:eastAsia="Calibri" w:hAnsi="Calibri"/>
          <w:color w:val="1F1F1F"/>
          <w:sz w:val="22"/>
          <w:szCs w:val="22"/>
        </w:rPr>
        <w:t xml:space="preserve">Ne PAS informer la personne désignée ou ses proches du gel de ses avoirs (interdiction de tipping-off — L.562-6 CMF).</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Ne pas répondre aux demandes d'opération en mentionnant le gel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Ne pas révéler l'existence d'une désignation sanctions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En cas de contact du client : formuler une réponse neutre (problème technique, compte en cours de vérification)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Escalader immédiatement tout contact du client au Responsable Conformité</w:t>
      </w:r>
    </w:p>
    <w:p>
      <w:pPr>
        <w:spacing w:before="60" w:after="0"/>
      </w:pPr>
    </w:p>
    <w:p>
      <w:pPr>
        <w:spacing w:before="60" w:after="80"/>
      </w:pPr>
      <w:r>
        <w:rPr>
          <w:rFonts w:ascii="Calibri" w:cs="Calibri" w:eastAsia="Calibri" w:hAnsi="Calibri"/>
          <w:color w:val="1F1F1F"/>
          <w:sz w:val="22"/>
          <w:szCs w:val="22"/>
        </w:rPr>
        <w:t xml:space="preserve">▼</w:t>
      </w:r>
    </w:p>
    <w:p>
      <w:pPr>
        <w:spacing w:before="60" w:after="0"/>
      </w:pPr>
    </w:p>
    <w:p>
      <w:pPr>
        <w:pStyle w:val="Heading3"/>
        <w:spacing w:before="180" w:after="80"/>
      </w:pPr>
      <w:r>
        <w:rPr>
          <w:rFonts w:ascii="Calibri" w:cs="Calibri" w:eastAsia="Calibri" w:hAnsi="Calibri"/>
          <w:b/>
          <w:bCs/>
          <w:color w:val="1F1F1F"/>
          <w:sz w:val="22"/>
          <w:szCs w:val="22"/>
        </w:rPr>
        <w:t xml:space="preserve">Action 5 — DOCUMENTATION immédiate et complète</w:t>
      </w:r>
    </w:p>
    <w:p>
      <w:pPr>
        <w:spacing w:before="60" w:after="0"/>
      </w:pPr>
    </w:p>
    <w:p>
      <w:pPr>
        <w:spacing w:before="60" w:after="80"/>
      </w:pPr>
      <w:r>
        <w:rPr>
          <w:rFonts w:ascii="Calibri" w:cs="Calibri" w:eastAsia="Calibri" w:hAnsi="Calibri"/>
          <w:color w:val="1F1F1F"/>
          <w:sz w:val="22"/>
          <w:szCs w:val="22"/>
        </w:rPr>
        <w:t xml:space="preserve">Constituer immédiatement le dossier de gel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Date et heure exactes du gel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Identité complète de la personne désignée (nom, prénom, date de naissance, numéro de désignation)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Liste de désignation concernée et référence du texte (règlement UE, arrêté DG Trésor...)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Nature et montant exact des avoirs gelés (soldes, instruments, valorisation)</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Rapport de criblage ayant identifié le match</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Décision de qualification (vrai positif) et analyse des éléments discriminants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Accusé de réception de la déclaration DG Trésor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Identité du responsable ayant décidé le gel et de celui ayant effectué la déclaration</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4 — Gestion du compte en régime de gel</w:t>
      </w:r>
    </w:p>
    <w:p>
      <w:pPr>
        <w:spacing w:before="60" w:after="0"/>
      </w:pPr>
    </w:p>
    <w:p>
      <w:pPr>
        <w:pStyle w:val="Heading3"/>
        <w:spacing w:before="180" w:after="80"/>
      </w:pPr>
      <w:r>
        <w:rPr>
          <w:rFonts w:ascii="Calibri" w:cs="Calibri" w:eastAsia="Calibri" w:hAnsi="Calibri"/>
          <w:b/>
          <w:bCs/>
          <w:color w:val="1F1F1F"/>
          <w:sz w:val="22"/>
          <w:szCs w:val="22"/>
        </w:rPr>
        <w:t xml:space="preserve">4.1. Opérations autorisées</w:t>
      </w:r>
    </w:p>
    <w:p>
      <w:pPr>
        <w:spacing w:before="60" w:after="0"/>
      </w:pPr>
    </w:p>
    <w:p>
      <w:pPr>
        <w:spacing w:before="60" w:after="80"/>
      </w:pPr>
      <w:r>
        <w:rPr>
          <w:rFonts w:ascii="Calibri" w:cs="Calibri" w:eastAsia="Calibri" w:hAnsi="Calibri"/>
          <w:color w:val="1F1F1F"/>
          <w:sz w:val="22"/>
          <w:szCs w:val="22"/>
        </w:rPr>
        <w:t xml:space="preserve">Les opérations suivantes restent possibles sur un compte gelé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Crédits entrants (virements reçus en faveur du compte) — à consigner mais pas à bloquer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Intérêts et produits financiers générés par les avoirs gelés (à consigner)</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Opérations strictement nécessaires à la conservation des avoirs</w:t>
      </w:r>
    </w:p>
    <w:p>
      <w:pPr>
        <w:spacing w:before="60" w:after="0"/>
      </w:pPr>
    </w:p>
    <w:p>
      <w:pPr>
        <w:pStyle w:val="Heading3"/>
        <w:spacing w:before="180" w:after="80"/>
      </w:pPr>
      <w:r>
        <w:rPr>
          <w:rFonts w:ascii="Calibri" w:cs="Calibri" w:eastAsia="Calibri" w:hAnsi="Calibri"/>
          <w:b/>
          <w:bCs/>
          <w:color w:val="1F1F1F"/>
          <w:sz w:val="22"/>
          <w:szCs w:val="22"/>
        </w:rPr>
        <w:t xml:space="preserve">4.2. Suivi et reporting interne</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Informer la Direction Générale et le Conseil d'administration dès le gel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Reporting mensuel au Responsable Conformité sur l'état des avoirs gelés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Mise à jour du dossier à chaque événement (contact du client, demande tiers, évolution de la liste)</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5 — Demandes de déblocage pour dépenses essentielles (L.562-7)</w:t>
      </w:r>
    </w:p>
    <w:p>
      <w:pPr>
        <w:spacing w:before="60" w:after="0"/>
      </w:pPr>
    </w:p>
    <w:p>
      <w:pPr>
        <w:spacing w:before="60" w:after="80"/>
      </w:pPr>
      <w:r>
        <w:rPr>
          <w:rFonts w:ascii="Calibri" w:cs="Calibri" w:eastAsia="Calibri" w:hAnsi="Calibri"/>
          <w:color w:val="1F1F1F"/>
          <w:sz w:val="22"/>
          <w:szCs w:val="22"/>
        </w:rPr>
        <w:t xml:space="preserve">La DG Trésor peut autoriser des déblocages ponctuels pour couvrir des dépenses essentielles (nourriture, loyer, soins médicaux, honoraires d'avocat).</w:t>
      </w:r>
    </w:p>
    <w:p>
      <w:pPr>
        <w:spacing w:before="60" w:after="0"/>
      </w:pPr>
    </w:p>
    <w:p>
      <w:pPr>
        <w:spacing w:before="60" w:after="80"/>
      </w:pPr>
      <w:r>
        <w:rPr>
          <w:rFonts w:ascii="Calibri" w:cs="Calibri" w:eastAsia="Calibri" w:hAnsi="Calibri"/>
          <w:color w:val="1F1F1F"/>
          <w:sz w:val="22"/>
          <w:szCs w:val="22"/>
        </w:rPr>
        <w:t xml:space="preserve">Procédure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La personne désignée ou son représentant légal adresse une demande formelle à l'établissement</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L'établissement transmet la demande à la DG Trésor avec justificatifs</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Attendre l'autorisation écrite de la DG Trésor AVANT tout déblocage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Documenter chaque déblocage autorisé au dossier</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6 — Levée du gel (radiation des listes)</w:t>
      </w:r>
    </w:p>
    <w:p>
      <w:pPr>
        <w:spacing w:before="60" w:after="0"/>
      </w:pPr>
    </w:p>
    <w:p>
      <w:pPr>
        <w:spacing w:before="60" w:after="80"/>
      </w:pPr>
      <w:r>
        <w:rPr>
          <w:rFonts w:ascii="Calibri" w:cs="Calibri" w:eastAsia="Calibri" w:hAnsi="Calibri"/>
          <w:color w:val="1F1F1F"/>
          <w:sz w:val="22"/>
          <w:szCs w:val="22"/>
        </w:rPr>
        <w:t xml:space="preserve">Lorsqu'une personne désignée est radiée des listes de gel :</w:t>
      </w:r>
    </w:p>
    <w:p>
      <w:pPr>
        <w:spacing w:before="60" w:after="0"/>
      </w:pPr>
    </w:p>
    <w:p>
      <w:pPr>
        <w:pStyle w:val="ListParagraph"/>
        <w:numPr>
          <w:ilvl w:val="0"/>
          <w:numId w:val="2"/>
        </w:numPr>
        <w:spacing w:before="40" w:after="40"/>
      </w:pPr>
      <w:r>
        <w:rPr>
          <w:rFonts w:ascii="Calibri" w:cs="Calibri" w:eastAsia="Calibri" w:hAnsi="Calibri"/>
          <w:color w:val="1F1F1F"/>
          <w:sz w:val="22"/>
          <w:szCs w:val="22"/>
        </w:rPr>
        <w:t xml:space="preserve">Vérifier la radiation sur toutes les listes concernées (une radiation de la liste UE ne vaut pas radiation de la liste OFAC)</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Lever le blocage des opérations après vérification complète</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Informer le client de la levée du gel</w:t>
      </w:r>
    </w:p>
    <w:p>
      <w:pPr>
        <w:spacing w:before="60" w:after="80"/>
      </w:pPr>
      <w:r>
        <w:rPr>
          <w:rFonts w:ascii="Calibri" w:cs="Calibri" w:eastAsia="Calibri" w:hAnsi="Calibri"/>
          <w:color w:val="1F1F1F"/>
          <w:sz w:val="22"/>
          <w:szCs w:val="22"/>
        </w:rPr>
        <w:t xml:space="preserve">&gt;</w:t>
      </w:r>
    </w:p>
    <w:p>
      <w:pPr>
        <w:pStyle w:val="ListParagraph"/>
        <w:numPr>
          <w:ilvl w:val="0"/>
          <w:numId w:val="2"/>
        </w:numPr>
        <w:spacing w:before="40" w:after="40"/>
      </w:pPr>
      <w:r>
        <w:rPr>
          <w:rFonts w:ascii="Calibri" w:cs="Calibri" w:eastAsia="Calibri" w:hAnsi="Calibri"/>
          <w:color w:val="1F1F1F"/>
          <w:sz w:val="22"/>
          <w:szCs w:val="22"/>
        </w:rPr>
        <w:t xml:space="preserve">Conserver le dossier complet 5 ans après la levée (L.561-12)</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7 — Articulation avec la déclaration de soupçon Tracfin</w:t>
      </w:r>
    </w:p>
    <w:p>
      <w:pPr>
        <w:spacing w:before="60" w:after="0"/>
      </w:pPr>
    </w:p>
    <w:p>
      <w:pPr>
        <w:spacing w:before="60" w:after="80"/>
      </w:pPr>
      <w:r>
        <w:rPr>
          <w:rFonts w:ascii="Calibri" w:cs="Calibri" w:eastAsia="Calibri" w:hAnsi="Calibri"/>
          <w:color w:val="1F1F1F"/>
          <w:sz w:val="22"/>
          <w:szCs w:val="22"/>
        </w:rPr>
        <w:t xml:space="preserve">La déclaration à la DG Trésor (L.562-5) et la déclaration de soupçon Tracfin (EB-TRC-001) sont deux obligations DISTINCTES et cumulatives.</w:t>
      </w:r>
    </w:p>
    <w:p>
      <w:pPr>
        <w:spacing w:before="60" w:after="0"/>
      </w:pPr>
    </w:p>
    <w:p>
      <w:pPr>
        <w:spacing w:before="60" w:after="80"/>
      </w:pPr>
      <w:r>
        <w:rPr>
          <w:rFonts w:ascii="Calibri" w:cs="Calibri" w:eastAsia="Calibri" w:hAnsi="Calibri"/>
          <w:color w:val="1F1F1F"/>
          <w:sz w:val="22"/>
          <w:szCs w:val="22"/>
        </w:rPr>
        <w:t xml:space="preserve">Le gel d'avoirs peut (et souvent doit) s'accompagner d'une déclaration de soupçon Tracfin si des opérations suspectes ont précédé le gel ou si le comportement du client génère un soupçon de blanchiment ou financement du terrorisme.</w:t>
      </w:r>
    </w:p>
    <w:p>
      <w:pPr>
        <w:spacing w:before="60" w:after="0"/>
      </w:pPr>
    </w:p>
    <w:p>
      <w:pPr>
        <w:spacing w:before="60" w:after="80"/>
      </w:pPr>
      <w:r>
        <w:rPr>
          <w:rFonts w:ascii="Calibri" w:cs="Calibri" w:eastAsia="Calibri" w:hAnsi="Calibri"/>
          <w:color w:val="1F1F1F"/>
          <w:sz w:val="22"/>
          <w:szCs w:val="22"/>
        </w:rPr>
        <w:t xml:space="preserve">Évaluer systématiquement la nécessité d'une déclaration Tracfin concomitante ou postérieure au gel.</w:t>
      </w:r>
    </w:p>
    <w:p>
      <w:pPr>
        <w:spacing w:before="60" w:after="0"/>
      </w:pPr>
    </w:p>
    <w:p>
      <w:pPr>
        <w:spacing w:before="60" w:after="0"/>
      </w:pPr>
    </w:p>
    <w:p>
      <w:pPr>
        <w:pStyle w:val="Heading2"/>
        <w:spacing w:before="240" w:after="100"/>
      </w:pPr>
      <w:r>
        <w:rPr>
          <w:rFonts w:ascii="Calibri" w:cs="Calibri" w:eastAsia="Calibri" w:hAnsi="Calibri"/>
          <w:b/>
          <w:bCs/>
          <w:color w:val="000000"/>
          <w:sz w:val="24"/>
          <w:szCs w:val="24"/>
        </w:rPr>
        <w:t xml:space="preserve">8 — Indicateurs de contrôle</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400"/>
      </w:tblGrid>
      <w:tr>
        <w:tc>
          <w:tcPr>
            <w:tcW w:type="dxa" w:w="22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Indicateur</w:t>
            </w:r>
          </w:p>
        </w:tc>
        <w:tc>
          <w:tcPr>
            <w:tcW w:type="dxa" w:w="46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Cible</w:t>
            </w:r>
          </w:p>
        </w:tc>
        <w:tc>
          <w:tcPr>
            <w:tcW w:type="dxa" w:w="2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 Fréquence</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Délai gel → déclaration DG Trésor</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&lt; 48h</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À chaque événement</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Taux de dossiers gel complets</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À chaque événement</w:t>
            </w:r>
          </w:p>
        </w:tc>
      </w:tr>
      <w:tr>
        <w:tc>
          <w:tcPr>
            <w:tcW w:type="dxa" w:w="22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Revue des avoirs gelés en cours</w:t>
            </w:r>
          </w:p>
        </w:tc>
        <w:tc>
          <w:tcPr>
            <w:tcW w:type="dxa" w:w="46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Mensuelle</w:t>
            </w:r>
          </w:p>
        </w:tc>
      </w:tr>
      <w:tr>
        <w:tc>
          <w:tcPr>
            <w:tcW w:type="dxa" w:w="22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Évaluation Tracfin associée documentée</w:t>
            </w:r>
          </w:p>
        </w:tc>
        <w:tc>
          <w:tcPr>
            <w:tcW w:type="dxa" w:w="46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100%</w:t>
            </w:r>
          </w:p>
        </w:tc>
        <w:tc>
          <w:tcPr>
            <w:tcW w:type="dxa" w:w="2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À chaque gel</w:t>
            </w:r>
          </w:p>
        </w:tc>
      </w:tr>
    </w:tbl>
    <w:p>
      <w:pPr>
        <w:spacing w:before="100" w:after="0"/>
      </w:pPr>
    </w:p>
    <w:p>
      <w:pPr>
        <w:spacing w:before="60" w:after="0"/>
      </w:pPr>
    </w:p>
    <w:p>
      <w:pPr>
        <w:pStyle w:val="Heading2"/>
        <w:spacing w:before="240" w:after="100"/>
      </w:pPr>
      <w:r>
        <w:rPr>
          <w:rFonts w:ascii="Calibri" w:cs="Calibri" w:eastAsia="Calibri" w:hAnsi="Calibri"/>
          <w:b/>
          <w:bCs/>
          <w:color w:val="000000"/>
          <w:sz w:val="24"/>
          <w:szCs w:val="24"/>
        </w:rPr>
        <w:t xml:space="preserve">9 — Documents associés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c>
          <w:tcPr>
            <w:tcW w:type="dxa" w:w="34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Document</w:t>
            </w:r>
          </w:p>
        </w:tc>
        <w:tc>
          <w:tcPr>
            <w:tcW w:type="dxa" w:w="5800"/>
            <w:tcBorders>
              <w:top w:val="single" w:color="C0C0C0" w:sz="4"/>
              <w:left w:val="single" w:color="C0C0C0" w:sz="4"/>
              <w:bottom w:val="single" w:color="C0C0C0" w:sz="4"/>
              <w:right w:val="single" w:color="C0C0C0" w:sz="4"/>
            </w:tcBorders>
            <w:shd w:fill="EBEBEB" w:val="clear"/>
            <w:tcMar>
              <w:top w:type="dxa" w:w="60"/>
              <w:left w:type="dxa" w:w="120"/>
              <w:bottom w:type="dxa" w:w="60"/>
              <w:right w:type="dxa" w:w="120"/>
            </w:tcMar>
          </w:tcPr>
          <w:p>
            <w:pPr>
              <w:spacing w:before="20" w:after="20"/>
            </w:pPr>
            <w:r>
              <w:rPr>
                <w:rFonts w:ascii="Calibri" w:cs="Calibri" w:eastAsia="Calibri" w:hAnsi="Calibri"/>
                <w:b/>
                <w:bCs/>
                <w:color w:val="1F1F1F"/>
                <w:sz w:val="20"/>
                <w:szCs w:val="20"/>
              </w:rPr>
              <w:t xml:space="preserve">Référence</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Criblage sanctions et PPE</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PPE — mesures de vigilance</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B-PEP-001</w:t>
            </w:r>
          </w:p>
        </w:tc>
      </w:tr>
      <w:tr>
        <w:tc>
          <w:tcPr>
            <w:tcW w:type="dxa" w:w="34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Déclaration de soupçon Tracfin</w:t>
            </w:r>
          </w:p>
        </w:tc>
        <w:tc>
          <w:tcPr>
            <w:tcW w:type="dxa" w:w="5800"/>
            <w:tcBorders>
              <w:top w:val="single" w:color="C0C0C0" w:sz="4"/>
              <w:left w:val="single" w:color="C0C0C0" w:sz="4"/>
              <w:bottom w:val="single" w:color="C0C0C0" w:sz="4"/>
              <w:right w:val="single" w:color="C0C0C0" w:sz="4"/>
            </w:tcBorders>
            <w:shd w:fill="F5F5F5"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EB-TRC-001</w:t>
            </w:r>
          </w:p>
        </w:tc>
      </w:tr>
      <w:tr>
        <w:tc>
          <w:tcPr>
            <w:tcW w:type="dxa" w:w="34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Adverse media</w:t>
            </w:r>
          </w:p>
        </w:tc>
        <w:tc>
          <w:tcPr>
            <w:tcW w:type="dxa" w:w="5800"/>
            <w:tcBorders>
              <w:top w:val="single" w:color="C0C0C0" w:sz="4"/>
              <w:left w:val="single" w:color="C0C0C0" w:sz="4"/>
              <w:bottom w:val="single" w:color="C0C0C0" w:sz="4"/>
              <w:right w:val="single" w:color="C0C0C0" w:sz="4"/>
            </w:tcBorders>
            <w:shd w:fill="FFFFFF" w:val="clear"/>
            <w:tcMar>
              <w:top w:type="dxa" w:w="60"/>
              <w:left w:type="dxa" w:w="120"/>
              <w:bottom w:type="dxa" w:w="60"/>
              <w:right w:type="dxa" w:w="120"/>
            </w:tcMar>
          </w:tcPr>
          <w:p>
            <w:pPr>
              <w:spacing w:before="20" w:after="20"/>
            </w:pPr>
            <w:r>
              <w:rPr>
                <w:rFonts w:ascii="Calibri" w:cs="Calibri" w:eastAsia="Calibri" w:hAnsi="Calibri"/>
                <w:b w:val="false"/>
                <w:bCs w:val="false"/>
                <w:color w:val="1F1F1F"/>
                <w:sz w:val="20"/>
                <w:szCs w:val="20"/>
              </w:rPr>
              <w:t xml:space="preserve">EB-SCR-002</w:t>
            </w:r>
          </w:p>
        </w:tc>
      </w:tr>
    </w:tbl>
    <w:p>
      <w:pPr>
        <w:spacing w:before="100" w:after="0"/>
      </w:pPr>
    </w:p>
    <w:p>
      <w:pPr>
        <w:spacing w:before="60" w:after="0"/>
      </w:pPr>
    </w:p>
    <w:p>
      <w:pPr>
        <w:spacing w:before="60" w:after="80"/>
      </w:pPr>
      <w:r>
        <w:rPr>
          <w:rFonts w:ascii="Calibri" w:cs="Calibri" w:eastAsia="Calibri" w:hAnsi="Calibri"/>
          <w:color w:val="1F1F1F"/>
          <w:sz w:val="22"/>
          <w:szCs w:val="22"/>
        </w:rPr>
        <w:t xml:space="preserve">*Document produit par Early Brief — Veille réglementaire augmentée*</w:t>
      </w:r>
    </w:p>
    <w:p>
      <w:pPr>
        <w:spacing w:before="60" w:after="0"/>
      </w:pPr>
    </w:p>
    <w:sectPr>
      <w:headerReference w:type="default" r:id="rId6"/>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spacing w:before="60" w:after="0"/>
    </w:pPr>
    <w:r>
      <w:rPr>
        <w:rFonts w:ascii="Calibri" w:cs="Calibri" w:eastAsia="Calibri" w:hAnsi="Calibri"/>
        <w:color w:val="A0A0A0"/>
        <w:sz w:val="16"/>
        <w:szCs w:val="16"/>
      </w:rPr>
      <w:t xml:space="preserve">EB-GEL-001-v1.0   —   Confidentiel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spacing w:before="0" w:after="60"/>
    </w:pPr>
    <w:r>
      <w:rPr>
        <w:rFonts w:ascii="Courier New" w:cs="Courier New" w:eastAsia="Courier New" w:hAnsi="Courier New"/>
        <w:color w:val="A0A0A0"/>
        <w:sz w:val="18"/>
        <w:szCs w:val="18"/>
      </w:rPr>
      <w:t xml:space="preserve">EB-GEL-001-v1.0</w:t>
    </w:r>
    <w:r>
      <w:rPr>
        <w:rFonts w:ascii="Calibri" w:cs="Calibri" w:eastAsia="Calibri" w:hAnsi="Calibri"/>
        <w:color w:val="A0A0A0"/>
        <w:sz w:val="18"/>
        <w:szCs w:val="18"/>
      </w:rPr>
      <w:t xml:space="preserve">   —   </w:t>
    </w:r>
    <w:r>
      <w:rPr>
        <w:rFonts w:ascii="Calibri" w:cs="Calibri" w:eastAsia="Calibri" w:hAnsi="Calibri"/>
        <w:color w:val="595959"/>
        <w:sz w:val="18"/>
        <w:szCs w:val="18"/>
      </w:rPr>
      <w:t xml:space="preserve">Gel des avoirs — DG Trésor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Calibri" w:cs="Calibri" w:eastAsia="Calibri" w:hAnsi="Calibri"/>
      <w:b/>
      <w:bCs/>
      <w:color w:val="000000"/>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000000"/>
      <w:sz w:val="24"/>
      <w:szCs w:val="24"/>
    </w:rPr>
  </w:style>
  <w:style w:type="paragraph" w:styleId="Heading3">
    <w:name w:val="Heading 3"/>
    <w:basedOn w:val="Normal"/>
    <w:next w:val="Normal"/>
    <w:qFormat/>
    <w:pPr>
      <w:spacing w:before="180" w:after="80"/>
      <w:outlineLvl w:val="2"/>
    </w:pPr>
    <w:rPr>
      <w:rFonts w:ascii="Calibri" w:cs="Calibri" w:eastAsia="Calibri" w:hAnsi="Calibri"/>
      <w:b/>
      <w:bCs/>
      <w:color w:val="1F1F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2026-04-10T16:44:32.537Z</dcterms:created>
  <dcterms:modified xsi:type="dcterms:W3CDTF">2026-04-10T16:44:32.537Z</dcterms:modified>
</cp:coreProperties>
</file>

<file path=docProps/custom.xml><?xml version="1.0" encoding="utf-8"?>
<Properties xmlns="http://schemas.openxmlformats.org/officeDocument/2006/custom-properties" xmlns:vt="http://schemas.openxmlformats.org/officeDocument/2006/docPropsVTypes"/>
</file>