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40"/>
      </w:pPr>
      <w:r>
        <w:rPr>
          <w:rFonts w:ascii="Calibri" w:cs="Calibri" w:eastAsia="Calibri" w:hAnsi="Calibri"/>
          <w:b/>
          <w:bCs/>
          <w:color w:val="A0A0A0"/>
          <w:sz w:val="28"/>
          <w:szCs w:val="28"/>
        </w:rPr>
        <w:t xml:space="preserve">[NOM DE L'ÉTABLISSEMENT]</w:t>
      </w:r>
    </w:p>
    <w:p>
      <w:pPr>
        <w:spacing w:before="0" w:after="60"/>
      </w:pPr>
      <w:r>
        <w:rPr>
          <w:rFonts w:ascii="Calibri" w:cs="Calibri" w:eastAsia="Calibri" w:hAnsi="Calibri"/>
          <w:b/>
          <w:bCs/>
          <w:color w:val="000000"/>
          <w:sz w:val="40"/>
          <w:szCs w:val="40"/>
        </w:rPr>
        <w:t xml:space="preserve">Entrée en relation — Personne physique (PP)</w:t>
      </w:r>
    </w:p>
    <w:p>
      <w:pPr>
        <w:spacing w:before="0" w:after="40"/>
      </w:pPr>
      <w:r>
        <w:rPr>
          <w:rFonts w:ascii="Calibri" w:cs="Calibri" w:eastAsia="Calibri" w:hAnsi="Calibri"/>
          <w:i/>
          <w:iCs/>
          <w:color w:val="595959"/>
          <w:sz w:val="22"/>
          <w:szCs w:val="22"/>
        </w:rPr>
        <w:t xml:space="preserve">Identification, vérification et acceptation du client personne physique</w:t>
      </w:r>
    </w:p>
    <w:p>
      <w:pPr>
        <w:pBdr>
          <w:bottom w:val="single" w:color="C0C0C0" w:sz="6" w:space="4"/>
        </w:pBdr>
        <w:spacing w:before="0" w:after="2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0C0C0" w:sz="4"/>
              <w:left w:val="single" w:color="C0C0C0" w:sz="4"/>
              <w:bottom w:val="single" w:color="C0C0C0" w:sz="4"/>
              <w:right w:val="single" w:color="C0C0C0" w:sz="4"/>
            </w:tcBorders>
            <w:shd w:fill="EBEBEB" w:val="clear"/>
            <w:tcMar>
              <w:top w:type="dxa" w:w="80"/>
              <w:left w:type="dxa" w:w="120"/>
              <w:bottom w:type="dxa" w:w="80"/>
              <w:right w:type="dxa" w:w="120"/>
            </w:tcMar>
          </w:tcPr>
          <w:p>
            <w:r>
              <w:rPr>
                <w:rFonts w:ascii="Calibri" w:cs="Calibri" w:eastAsia="Calibri" w:hAnsi="Calibri"/>
                <w:b/>
                <w:bCs/>
                <w:color w:val="1F1F1F"/>
                <w:sz w:val="20"/>
                <w:szCs w:val="20"/>
              </w:rPr>
              <w:t xml:space="preserve">Champ</w:t>
            </w:r>
          </w:p>
        </w:tc>
        <w:tc>
          <w:tcPr>
            <w:tcW w:type="dxa" w:w="6000"/>
            <w:tcBorders>
              <w:top w:val="single" w:color="C0C0C0" w:sz="4"/>
              <w:left w:val="single" w:color="C0C0C0" w:sz="4"/>
              <w:bottom w:val="single" w:color="C0C0C0" w:sz="4"/>
              <w:right w:val="single" w:color="C0C0C0" w:sz="4"/>
            </w:tcBorders>
            <w:shd w:fill="EBEBEB" w:val="clear"/>
            <w:tcMar>
              <w:top w:type="dxa" w:w="80"/>
              <w:left w:type="dxa" w:w="120"/>
              <w:bottom w:type="dxa" w:w="80"/>
              <w:right w:type="dxa" w:w="120"/>
            </w:tcMar>
          </w:tcPr>
          <w:p>
            <w:r>
              <w:rPr>
                <w:rFonts w:ascii="Calibri" w:cs="Calibri" w:eastAsia="Calibri" w:hAnsi="Calibri"/>
                <w:b/>
                <w:bCs/>
                <w:color w:val="1F1F1F"/>
                <w:sz w:val="20"/>
                <w:szCs w:val="20"/>
              </w:rPr>
              <w:t xml:space="preserve">Valeur</w:t>
            </w:r>
          </w:p>
        </w:tc>
      </w:tr>
      <w:tr>
        <w:tc>
          <w:tcPr>
            <w:tcW w:type="dxa" w:w="3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Référence</w:t>
            </w:r>
          </w:p>
        </w:tc>
        <w:tc>
          <w:tcPr>
            <w:tcW w:type="dxa" w:w="6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EB-KYC-001-v1.0</w:t>
            </w:r>
          </w:p>
        </w:tc>
      </w:tr>
      <w:tr>
        <w:tc>
          <w:tcPr>
            <w:tcW w:type="dxa" w:w="3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Version</w:t>
            </w:r>
          </w:p>
        </w:tc>
        <w:tc>
          <w:tcPr>
            <w:tcW w:type="dxa" w:w="6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1.0</w:t>
            </w:r>
          </w:p>
        </w:tc>
      </w:tr>
      <w:tr>
        <w:tc>
          <w:tcPr>
            <w:tcW w:type="dxa" w:w="3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Classification</w:t>
            </w:r>
          </w:p>
        </w:tc>
        <w:tc>
          <w:tcPr>
            <w:tcW w:type="dxa" w:w="6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Confidentiel — Usage interne</w:t>
            </w:r>
          </w:p>
        </w:tc>
      </w:tr>
      <w:tr>
        <w:tc>
          <w:tcPr>
            <w:tcW w:type="dxa" w:w="3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Périmètre</w:t>
            </w:r>
          </w:p>
        </w:tc>
        <w:tc>
          <w:tcPr>
            <w:tcW w:type="dxa" w:w="6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Entrée en relation PP — Tous assujettis L.561-2 CMF</w:t>
            </w:r>
          </w:p>
        </w:tc>
      </w:tr>
      <w:tr>
        <w:tc>
          <w:tcPr>
            <w:tcW w:type="dxa" w:w="3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Rédacteur</w:t>
            </w:r>
          </w:p>
        </w:tc>
        <w:tc>
          <w:tcPr>
            <w:tcW w:type="dxa" w:w="6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[Nom]</w:t>
            </w:r>
          </w:p>
        </w:tc>
      </w:tr>
      <w:tr>
        <w:tc>
          <w:tcPr>
            <w:tcW w:type="dxa" w:w="3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Approbateur</w:t>
            </w:r>
          </w:p>
        </w:tc>
        <w:tc>
          <w:tcPr>
            <w:tcW w:type="dxa" w:w="6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[Responsable Conformité / RCCL]</w:t>
            </w:r>
          </w:p>
        </w:tc>
      </w:tr>
      <w:tr>
        <w:tc>
          <w:tcPr>
            <w:tcW w:type="dxa" w:w="3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Date d'approbation</w:t>
            </w:r>
          </w:p>
        </w:tc>
        <w:tc>
          <w:tcPr>
            <w:tcW w:type="dxa" w:w="6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[JJ/MM/AAAA]</w:t>
            </w:r>
          </w:p>
        </w:tc>
      </w:tr>
      <w:tr>
        <w:tc>
          <w:tcPr>
            <w:tcW w:type="dxa" w:w="3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Prochaine révision</w:t>
            </w:r>
          </w:p>
        </w:tc>
        <w:tc>
          <w:tcPr>
            <w:tcW w:type="dxa" w:w="6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[JJ/MM/AAAA + 12 mois]</w:t>
            </w:r>
          </w:p>
        </w:tc>
      </w:tr>
    </w:tbl>
    <w:p>
      <w:pPr>
        <w:spacing w:before="160" w:after="0"/>
      </w:pPr>
    </w:p>
    <w:p>
      <w:pPr>
        <w:pStyle w:val="Heading2"/>
        <w:spacing w:before="240" w:after="100"/>
      </w:pPr>
      <w:r>
        <w:rPr>
          <w:rFonts w:ascii="Calibri" w:cs="Calibri" w:eastAsia="Calibri" w:hAnsi="Calibri"/>
          <w:b/>
          <w:bCs/>
          <w:color w:val="000000"/>
          <w:sz w:val="24"/>
          <w:szCs w:val="24"/>
        </w:rPr>
        <w:t xml:space="preserve">Historique des versions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600"/>
        <w:gridCol w:w="5000"/>
      </w:tblGrid>
      <w:tr>
        <w:tc>
          <w:tcPr>
            <w:tcW w:type="dxa" w:w="1200"/>
            <w:tcBorders>
              <w:top w:val="single" w:color="C0C0C0" w:sz="4"/>
              <w:left w:val="single" w:color="C0C0C0" w:sz="4"/>
              <w:bottom w:val="single" w:color="C0C0C0" w:sz="4"/>
              <w:right w:val="single" w:color="C0C0C0" w:sz="4"/>
            </w:tcBorders>
            <w:shd w:fill="EBEBEB" w:val="clear"/>
            <w:tcMar>
              <w:top w:type="dxa" w:w="80"/>
              <w:left w:type="dxa" w:w="120"/>
              <w:bottom w:type="dxa" w:w="80"/>
              <w:right w:type="dxa" w:w="120"/>
            </w:tcMar>
          </w:tcPr>
          <w:p>
            <w:r>
              <w:rPr>
                <w:rFonts w:ascii="Calibri" w:cs="Calibri" w:eastAsia="Calibri" w:hAnsi="Calibri"/>
                <w:b/>
                <w:bCs/>
                <w:color w:val="1F1F1F"/>
                <w:sz w:val="20"/>
                <w:szCs w:val="20"/>
              </w:rPr>
              <w:t xml:space="preserve">Version</w:t>
            </w:r>
          </w:p>
        </w:tc>
        <w:tc>
          <w:tcPr>
            <w:tcW w:type="dxa" w:w="1400"/>
            <w:tcBorders>
              <w:top w:val="single" w:color="C0C0C0" w:sz="4"/>
              <w:left w:val="single" w:color="C0C0C0" w:sz="4"/>
              <w:bottom w:val="single" w:color="C0C0C0" w:sz="4"/>
              <w:right w:val="single" w:color="C0C0C0" w:sz="4"/>
            </w:tcBorders>
            <w:shd w:fill="EBEBEB" w:val="clear"/>
            <w:tcMar>
              <w:top w:type="dxa" w:w="80"/>
              <w:left w:type="dxa" w:w="120"/>
              <w:bottom w:type="dxa" w:w="80"/>
              <w:right w:type="dxa" w:w="120"/>
            </w:tcMar>
          </w:tcPr>
          <w:p>
            <w:r>
              <w:rPr>
                <w:rFonts w:ascii="Calibri" w:cs="Calibri" w:eastAsia="Calibri" w:hAnsi="Calibri"/>
                <w:b/>
                <w:bCs/>
                <w:color w:val="1F1F1F"/>
                <w:sz w:val="20"/>
                <w:szCs w:val="20"/>
              </w:rPr>
              <w:t xml:space="preserve">Date</w:t>
            </w:r>
          </w:p>
        </w:tc>
        <w:tc>
          <w:tcPr>
            <w:tcW w:type="dxa" w:w="1600"/>
            <w:tcBorders>
              <w:top w:val="single" w:color="C0C0C0" w:sz="4"/>
              <w:left w:val="single" w:color="C0C0C0" w:sz="4"/>
              <w:bottom w:val="single" w:color="C0C0C0" w:sz="4"/>
              <w:right w:val="single" w:color="C0C0C0" w:sz="4"/>
            </w:tcBorders>
            <w:shd w:fill="EBEBEB" w:val="clear"/>
            <w:tcMar>
              <w:top w:type="dxa" w:w="80"/>
              <w:left w:type="dxa" w:w="120"/>
              <w:bottom w:type="dxa" w:w="80"/>
              <w:right w:type="dxa" w:w="120"/>
            </w:tcMar>
          </w:tcPr>
          <w:p>
            <w:r>
              <w:rPr>
                <w:rFonts w:ascii="Calibri" w:cs="Calibri" w:eastAsia="Calibri" w:hAnsi="Calibri"/>
                <w:b/>
                <w:bCs/>
                <w:color w:val="1F1F1F"/>
                <w:sz w:val="20"/>
                <w:szCs w:val="20"/>
              </w:rPr>
              <w:t xml:space="preserve">Auteur</w:t>
            </w:r>
          </w:p>
        </w:tc>
        <w:tc>
          <w:tcPr>
            <w:tcW w:type="dxa" w:w="5000"/>
            <w:tcBorders>
              <w:top w:val="single" w:color="C0C0C0" w:sz="4"/>
              <w:left w:val="single" w:color="C0C0C0" w:sz="4"/>
              <w:bottom w:val="single" w:color="C0C0C0" w:sz="4"/>
              <w:right w:val="single" w:color="C0C0C0" w:sz="4"/>
            </w:tcBorders>
            <w:shd w:fill="EBEBEB" w:val="clear"/>
            <w:tcMar>
              <w:top w:type="dxa" w:w="80"/>
              <w:left w:type="dxa" w:w="120"/>
              <w:bottom w:type="dxa" w:w="80"/>
              <w:right w:type="dxa" w:w="120"/>
            </w:tcMar>
          </w:tcPr>
          <w:p>
            <w:r>
              <w:rPr>
                <w:rFonts w:ascii="Calibri" w:cs="Calibri" w:eastAsia="Calibri" w:hAnsi="Calibri"/>
                <w:b/>
                <w:bCs/>
                <w:color w:val="1F1F1F"/>
                <w:sz w:val="20"/>
                <w:szCs w:val="20"/>
              </w:rPr>
              <w:t xml:space="preserve">Modifications</w:t>
            </w:r>
          </w:p>
        </w:tc>
      </w:tr>
      <w:tr>
        <w:tc>
          <w:tcPr>
            <w:tcW w:type="dxa" w:w="1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1.0</w:t>
            </w:r>
          </w:p>
        </w:tc>
        <w:tc>
          <w:tcPr>
            <w:tcW w:type="dxa" w:w="1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Avril 2026</w:t>
            </w:r>
          </w:p>
        </w:tc>
        <w:tc>
          <w:tcPr>
            <w:tcW w:type="dxa" w:w="16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Early Brief</w:t>
            </w:r>
          </w:p>
        </w:tc>
        <w:tc>
          <w:tcPr>
            <w:tcW w:type="dxa" w:w="5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Création</w:t>
            </w:r>
          </w:p>
        </w:tc>
      </w:tr>
    </w:tbl>
    <w:p>
      <w:pPr>
        <w:spacing w:before="8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C0C0" w:sz="4"/>
              <w:left w:val="single" w:color="C0C0C0" w:sz="4"/>
              <w:bottom w:val="single" w:color="C0C0C0" w:sz="4"/>
              <w:right w:val="single" w:color="C0C0C0" w:sz="4"/>
            </w:tcBorders>
            <w:shd w:fill="EBEBEB" w:val="clear"/>
            <w:tcMar>
              <w:top w:type="dxa" w:w="80"/>
              <w:left w:type="dxa" w:w="160"/>
              <w:bottom w:type="dxa" w:w="40"/>
              <w:right w:type="dxa" w:w="160"/>
            </w:tcMar>
          </w:tcPr>
          <w:p>
            <w:r>
              <w:rPr>
                <w:rFonts w:ascii="Calibri" w:cs="Calibri" w:eastAsia="Calibri" w:hAnsi="Calibri"/>
                <w:b/>
                <w:bCs/>
                <w:color w:val="1F1F1F"/>
                <w:sz w:val="20"/>
                <w:szCs w:val="20"/>
              </w:rPr>
              <w:t xml:space="preserve">✅  Vérification — sources</w:t>
            </w:r>
          </w:p>
        </w:tc>
      </w:tr>
      <w:tr>
        <w:tc>
          <w:tcPr>
            <w:tcW w:type="dxa" w:w="9200"/>
            <w:tcBorders>
              <w:top w:val="none" w:color="FFFFFF" w:sz="0"/>
              <w:left w:val="single" w:color="C0C0C0" w:sz="4"/>
              <w:bottom w:val="none" w:color="FFFFFF" w:sz="0"/>
              <w:right w:val="single" w:color="C0C0C0" w:sz="4"/>
            </w:tcBorders>
            <w:shd w:fill="EBEBEB"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Base légale vérifiée sur legifrance.gouv.fr (L.561-5, R.561-5 CMF)</w:t>
            </w:r>
          </w:p>
        </w:tc>
      </w:tr>
      <w:tr>
        <w:tc>
          <w:tcPr>
            <w:tcW w:type="dxa" w:w="9200"/>
            <w:tcBorders>
              <w:top w:val="none" w:color="FFFFFF" w:sz="0"/>
              <w:left w:val="single" w:color="C0C0C0" w:sz="4"/>
              <w:bottom w:val="none" w:color="FFFFFF" w:sz="0"/>
              <w:right w:val="single" w:color="C0C0C0" w:sz="4"/>
            </w:tcBorders>
            <w:shd w:fill="EBEBEB"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Vérifier : acpr.banque-france.fr — legifrance.gouv.fr</w:t>
            </w:r>
          </w:p>
        </w:tc>
      </w:tr>
      <w:tr>
        <w:tc>
          <w:tcPr>
            <w:tcW w:type="dxa" w:w="9200"/>
            <w:tcBorders>
              <w:top w:val="single" w:color="C0C0C0" w:sz="4"/>
              <w:left w:val="single" w:color="C0C0C0" w:sz="4"/>
              <w:bottom w:val="single" w:color="C0C0C0" w:sz="4"/>
              <w:right w:val="single" w:color="C0C0C0" w:sz="4"/>
            </w:tcBorders>
            <w:shd w:fill="EBEBEB" w:val="clear"/>
            <w:tcMar>
              <w:top w:type="dxa" w:w="2"/>
              <w:bottom w:type="dxa" w:w="2"/>
            </w:tcMar>
          </w:tcPr>
          <w:p/>
        </w:tc>
      </w:tr>
    </w:tbl>
    <w:p>
      <w:pPr>
        <w:spacing w:before="200" w:after="0"/>
      </w:pPr>
    </w:p>
    <w:p>
      <w:pPr>
        <w:pStyle w:val="Heading2"/>
        <w:spacing w:before="240" w:after="100"/>
      </w:pPr>
      <w:r>
        <w:rPr>
          <w:rFonts w:ascii="Calibri" w:cs="Calibri" w:eastAsia="Calibri" w:hAnsi="Calibri"/>
          <w:b/>
          <w:bCs/>
          <w:color w:val="000000"/>
          <w:sz w:val="24"/>
          <w:szCs w:val="24"/>
        </w:rPr>
        <w:t xml:space="preserve">1 — Objet et périmètre</w:t>
      </w:r>
    </w:p>
    <w:p>
      <w:pPr>
        <w:spacing w:before="60" w:after="0"/>
      </w:pPr>
    </w:p>
    <w:p>
      <w:pPr>
        <w:spacing w:before="60" w:after="80"/>
      </w:pPr>
      <w:r>
        <w:rPr>
          <w:rFonts w:ascii="Calibri" w:cs="Calibri" w:eastAsia="Calibri" w:hAnsi="Calibri"/>
          <w:color w:val="1F1F1F"/>
          <w:sz w:val="22"/>
          <w:szCs w:val="22"/>
        </w:rPr>
        <w:t xml:space="preserve">Cette procédure définit les modalités d'identification, de vérification d'identité et d'acceptation des clients personnes physiques lors de l'entrée en relation d'affaires. Elle couvre l'ensemble du parcours d'onboarding client, de la collecte documentaire jusqu'à la décision d'acceptation ou de refus.</w:t>
      </w:r>
    </w:p>
    <w:p>
      <w:pPr>
        <w:spacing w:before="60" w:after="0"/>
      </w:pPr>
    </w:p>
    <w:p>
      <w:pPr>
        <w:spacing w:before="60" w:after="80"/>
      </w:pPr>
      <w:r>
        <w:rPr>
          <w:rFonts w:ascii="Calibri" w:cs="Calibri" w:eastAsia="Calibri" w:hAnsi="Calibri"/>
          <w:color w:val="1F1F1F"/>
          <w:sz w:val="22"/>
          <w:szCs w:val="22"/>
        </w:rPr>
        <w:t xml:space="preserve">Elle s'adresse aux chargés de clientèle, analystes KYC, compliance officers et responsables conformité de tout établissement assujetti aux obligations LCB-FT.</w:t>
      </w: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C0C0" w:sz="4"/>
              <w:left w:val="single" w:color="C0C0C0" w:sz="4"/>
              <w:bottom w:val="single" w:color="C0C0C0" w:sz="4"/>
              <w:right w:val="single" w:color="C0C0C0" w:sz="4"/>
            </w:tcBorders>
            <w:shd w:fill="F5F5F5" w:val="clear"/>
            <w:tcMar>
              <w:top w:type="dxa" w:w="80"/>
              <w:left w:type="dxa" w:w="160"/>
              <w:bottom w:type="dxa" w:w="40"/>
              <w:right w:type="dxa" w:w="160"/>
            </w:tcMar>
          </w:tcPr>
          <w:p>
            <w:r>
              <w:rPr>
                <w:rFonts w:ascii="Calibri" w:cs="Calibri" w:eastAsia="Calibri" w:hAnsi="Calibri"/>
                <w:b/>
                <w:bCs/>
                <w:color w:val="1F1F1F"/>
                <w:sz w:val="20"/>
                <w:szCs w:val="20"/>
              </w:rPr>
              <w:t xml:space="preserve">⚖  Base légale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 BASE LÉGALE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L.561-5 CMF — Obligation d'identification et de vérification de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l'identité du client avant l'entrée en relation d'affaires</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L.561-5-1 CMF — Identification du bénéficiaire effectif (BE)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R.561-5 CMF — Modalités de vérification d'identité PP : document</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officiel en cours de validité comportant photographie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R.561-5-1 CMF — Vérification de l'identité dans le cadre de la</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relation à distance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L.561-6 CMF — Vigilance constante : obligation de mise à jour des</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données tout au long de la relation</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L.561-8 CMF — Interdiction de nouer/maintenir la relation si</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identification impossible — obligation de déclarer si soupçon</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R.561-10 CMF — Cas permettant la vérification après l'entrée en</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relation (services de paiement, assurance-vie)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L.561-12 CMF — Conservation des documents (5 ans après fin de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relation)</w:t>
            </w:r>
          </w:p>
        </w:tc>
      </w:tr>
      <w:tr>
        <w:tc>
          <w:tcPr>
            <w:tcW w:type="dxa" w:w="9200"/>
            <w:tcBorders>
              <w:top w:val="single" w:color="C0C0C0" w:sz="4"/>
              <w:left w:val="single" w:color="C0C0C0" w:sz="4"/>
              <w:bottom w:val="single" w:color="C0C0C0" w:sz="4"/>
              <w:right w:val="single" w:color="C0C0C0" w:sz="4"/>
            </w:tcBorders>
            <w:shd w:fill="F5F5F5" w:val="clear"/>
            <w:tcMar>
              <w:top w:type="dxa" w:w="2"/>
              <w:bottom w:type="dxa" w:w="2"/>
            </w:tcMar>
          </w:tcPr>
          <w:p/>
        </w:tc>
      </w:tr>
    </w:tbl>
    <w:p>
      <w:pPr>
        <w:spacing w:before="80" w:after="0"/>
      </w:pP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C0C0" w:sz="4"/>
              <w:left w:val="single" w:color="C0C0C0" w:sz="4"/>
              <w:bottom w:val="single" w:color="C0C0C0" w:sz="4"/>
              <w:right w:val="single" w:color="C0C0C0" w:sz="4"/>
            </w:tcBorders>
            <w:shd w:fill="F5F5F5" w:val="clear"/>
            <w:tcMar>
              <w:top w:type="dxa" w:w="80"/>
              <w:left w:type="dxa" w:w="160"/>
              <w:bottom w:type="dxa" w:w="40"/>
              <w:right w:type="dxa" w:w="160"/>
            </w:tcMar>
          </w:tcPr>
          <w:p>
            <w:r>
              <w:rPr>
                <w:rFonts w:ascii="Calibri" w:cs="Calibri" w:eastAsia="Calibri" w:hAnsi="Calibri"/>
                <w:b/>
                <w:bCs/>
                <w:color w:val="1F1F1F"/>
                <w:sz w:val="20"/>
                <w:szCs w:val="20"/>
              </w:rPr>
              <w:t xml:space="preserve">✎  Note opérationnelle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 NOTE EARLY BRIEF — CONVENTION DE LECTURE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Ce document contient des Notes Early Brief (encadrés comme celui-ci).</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Elles apportent un éclairage opérationnel issu de la veille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réglementaire et de l'expérience terrain d'Early Brief.</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Ces notes ne modifient pas les obligations légales décrites dans la</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procédure. L'acheteur peut les supprimer sans impact sur la</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conformité du document.</w:t>
            </w:r>
          </w:p>
        </w:tc>
      </w:tr>
      <w:tr>
        <w:tc>
          <w:tcPr>
            <w:tcW w:type="dxa" w:w="9200"/>
            <w:tcBorders>
              <w:top w:val="single" w:color="C0C0C0" w:sz="4"/>
              <w:left w:val="single" w:color="C0C0C0" w:sz="4"/>
              <w:bottom w:val="single" w:color="C0C0C0" w:sz="4"/>
              <w:right w:val="single" w:color="C0C0C0" w:sz="4"/>
            </w:tcBorders>
            <w:shd w:fill="F5F5F5" w:val="clear"/>
            <w:tcMar>
              <w:top w:type="dxa" w:w="2"/>
              <w:bottom w:type="dxa" w:w="2"/>
            </w:tcMar>
          </w:tcPr>
          <w:p/>
        </w:tc>
      </w:tr>
    </w:tbl>
    <w:p>
      <w:pPr>
        <w:spacing w:before="80" w:after="0"/>
      </w:pPr>
    </w:p>
    <w:p>
      <w:pPr>
        <w:spacing w:before="60" w:after="0"/>
      </w:pPr>
    </w:p>
    <w:p>
      <w:pPr>
        <w:pStyle w:val="Heading3"/>
        <w:spacing w:before="180" w:after="80"/>
      </w:pPr>
      <w:r>
        <w:rPr>
          <w:rFonts w:ascii="Calibri" w:cs="Calibri" w:eastAsia="Calibri" w:hAnsi="Calibri"/>
          <w:b/>
          <w:bCs/>
          <w:color w:val="1F1F1F"/>
          <w:sz w:val="22"/>
          <w:szCs w:val="22"/>
        </w:rPr>
        <w:t xml:space="preserve">1.1. Ce que couvre cette procédure</w:t>
      </w:r>
    </w:p>
    <w:p>
      <w:pPr>
        <w:spacing w:before="60" w:after="0"/>
      </w:pPr>
    </w:p>
    <w:p>
      <w:pPr>
        <w:pStyle w:val="ListParagraph"/>
        <w:numPr>
          <w:ilvl w:val="0"/>
          <w:numId w:val="2"/>
        </w:numPr>
        <w:spacing w:before="40" w:after="40"/>
      </w:pPr>
      <w:r>
        <w:rPr>
          <w:rFonts w:ascii="Calibri" w:cs="Calibri" w:eastAsia="Calibri" w:hAnsi="Calibri"/>
          <w:color w:val="1F1F1F"/>
          <w:sz w:val="22"/>
          <w:szCs w:val="22"/>
        </w:rPr>
        <w:t xml:space="preserve">Identification et vérification d'identité du client PP à l'entrée en relation (onboarding)</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Collecte documentaire adaptée selon le canal (présentiel / à distance)</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Vérification de l'adresse et des coordonnées</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Identification de la situation professionnelle et de l'origine des fonds</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Détection des déclencheurs d'EDD dès l'entrée en relation (PPE, pays à risque)</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Criblage initial sanctions, PPE et adverse media</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Décision d'acceptation, d'acceptation sous conditions ou de refus</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Documentation du dossier d'entrée en relation</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Cas particuliers : tuteur/curateur, mandataire, compte joint, mineur</w:t>
      </w:r>
    </w:p>
    <w:p>
      <w:pPr>
        <w:spacing w:before="60" w:after="0"/>
      </w:pPr>
    </w:p>
    <w:p>
      <w:pPr>
        <w:pStyle w:val="Heading3"/>
        <w:spacing w:before="180" w:after="80"/>
      </w:pPr>
      <w:r>
        <w:rPr>
          <w:rFonts w:ascii="Calibri" w:cs="Calibri" w:eastAsia="Calibri" w:hAnsi="Calibri"/>
          <w:b/>
          <w:bCs/>
          <w:color w:val="1F1F1F"/>
          <w:sz w:val="22"/>
          <w:szCs w:val="22"/>
        </w:rPr>
        <w:t xml:space="preserve">1.2. Ce que ne couvre pas cette procédure</w:t>
      </w:r>
    </w:p>
    <w:p>
      <w:pPr>
        <w:spacing w:before="60" w:after="0"/>
      </w:pPr>
    </w:p>
    <w:p>
      <w:pPr>
        <w:pStyle w:val="ListParagraph"/>
        <w:numPr>
          <w:ilvl w:val="0"/>
          <w:numId w:val="2"/>
        </w:numPr>
        <w:spacing w:before="40" w:after="40"/>
      </w:pPr>
      <w:r>
        <w:rPr>
          <w:rFonts w:ascii="Calibri" w:cs="Calibri" w:eastAsia="Calibri" w:hAnsi="Calibri"/>
          <w:color w:val="1F1F1F"/>
          <w:sz w:val="22"/>
          <w:szCs w:val="22"/>
        </w:rPr>
        <w:t xml:space="preserve">Entrée en relation d'une personne morale → EB-KYC-002</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Identification du bénéficiaire effectif (PM) → EB-UBO-001</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Vigilance renforcée (EDD) → EB-EDD-001</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Vigilance simplifiée (SDD) → EB-SDD-001</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Criblage détaillé sanctions / PPE / gel des avoirs → EB-SCR-001</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Adverse media → EB-SCR-002</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Déclaration de soupçon → EB-TRC-001</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Monitoring transactionnel → EB-MON-001</w:t>
      </w: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C0C0" w:sz="4"/>
              <w:left w:val="single" w:color="C0C0C0" w:sz="4"/>
              <w:bottom w:val="single" w:color="C0C0C0" w:sz="4"/>
              <w:right w:val="single" w:color="C0C0C0" w:sz="4"/>
            </w:tcBorders>
            <w:shd w:fill="F5F5F5" w:val="clear"/>
            <w:tcMar>
              <w:top w:type="dxa" w:w="80"/>
              <w:left w:type="dxa" w:w="160"/>
              <w:bottom w:type="dxa" w:w="40"/>
              <w:right w:type="dxa" w:w="160"/>
            </w:tcMar>
          </w:tcPr>
          <w:p>
            <w:r>
              <w:rPr>
                <w:rFonts w:ascii="Calibri" w:cs="Calibri" w:eastAsia="Calibri" w:hAnsi="Calibri"/>
                <w:b/>
                <w:bCs/>
                <w:color w:val="1F1F1F"/>
                <w:sz w:val="20"/>
                <w:szCs w:val="20"/>
              </w:rPr>
              <w:t xml:space="preserve">⚠  Point de vigilance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 PRINCIPE FONDAMENTAL</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L'identification doit être PRÉALABLE à l'entrée en relation.</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L.561-5 ne laisse pas de marge : la vérification de l'identité</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intervient avant d'établir la relation d'affaires.</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Exception limitée : R.561-10 CMF autorise la vérification PENDANT</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l'établissement de la relation pour certains services (paiement,</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assurance-vie) si nécessaire pour ne pas interrompre le cours normal</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des affaires — à encadrer strictement.</w:t>
            </w:r>
          </w:p>
        </w:tc>
      </w:tr>
      <w:tr>
        <w:tc>
          <w:tcPr>
            <w:tcW w:type="dxa" w:w="9200"/>
            <w:tcBorders>
              <w:top w:val="single" w:color="C0C0C0" w:sz="4"/>
              <w:left w:val="single" w:color="C0C0C0" w:sz="4"/>
              <w:bottom w:val="single" w:color="C0C0C0" w:sz="4"/>
              <w:right w:val="single" w:color="C0C0C0" w:sz="4"/>
            </w:tcBorders>
            <w:shd w:fill="F5F5F5" w:val="clear"/>
            <w:tcMar>
              <w:top w:type="dxa" w:w="2"/>
              <w:bottom w:type="dxa" w:w="2"/>
            </w:tcMar>
          </w:tcPr>
          <w:p/>
        </w:tc>
      </w:tr>
    </w:tbl>
    <w:p>
      <w:pPr>
        <w:spacing w:before="80" w:after="0"/>
      </w:pPr>
    </w:p>
    <w:p>
      <w:pPr>
        <w:spacing w:before="60" w:after="0"/>
      </w:pPr>
    </w:p>
    <w:p>
      <w:pPr>
        <w:spacing w:before="60" w:after="0"/>
      </w:pPr>
    </w:p>
    <w:p>
      <w:pPr>
        <w:pStyle w:val="Heading2"/>
        <w:spacing w:before="240" w:after="100"/>
      </w:pPr>
      <w:r>
        <w:rPr>
          <w:rFonts w:ascii="Calibri" w:cs="Calibri" w:eastAsia="Calibri" w:hAnsi="Calibri"/>
          <w:b/>
          <w:bCs/>
          <w:color w:val="000000"/>
          <w:sz w:val="24"/>
          <w:szCs w:val="24"/>
        </w:rPr>
        <w:t xml:space="preserve">2 — Parcours de traitement — Vue d'ensemble</w:t>
      </w:r>
    </w:p>
    <w:p>
      <w:pPr>
        <w:spacing w:before="60" w:after="0"/>
      </w:pPr>
    </w:p>
    <w:p>
      <w:pPr>
        <w:spacing w:before="60" w:after="80"/>
      </w:pPr>
      <w:r>
        <w:rPr>
          <w:rFonts w:ascii="Calibri" w:cs="Calibri" w:eastAsia="Calibri" w:hAnsi="Calibri"/>
          <w:color w:val="1F1F1F"/>
          <w:sz w:val="22"/>
          <w:szCs w:val="22"/>
        </w:rPr>
        <w:t xml:space="preserve">Le parcours KYC PP s'articule en 5 phases. Chaque phase conditionne la suivante.</w:t>
      </w: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800"/>
        <w:gridCol w:w="2000"/>
      </w:tblGrid>
      <w:tr>
        <w:tc>
          <w:tcPr>
            <w:tcW w:type="dxa" w:w="14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Phase</w:t>
            </w:r>
          </w:p>
        </w:tc>
        <w:tc>
          <w:tcPr>
            <w:tcW w:type="dxa" w:w="30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Étape</w:t>
            </w:r>
          </w:p>
        </w:tc>
        <w:tc>
          <w:tcPr>
            <w:tcW w:type="dxa" w:w="28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Action</w:t>
            </w:r>
          </w:p>
        </w:tc>
        <w:tc>
          <w:tcPr>
            <w:tcW w:type="dxa" w:w="20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Gate</w:t>
            </w:r>
          </w:p>
        </w:tc>
      </w:tr>
      <w:tr>
        <w:tc>
          <w:tcPr>
            <w:tcW w:type="dxa" w:w="1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PHASE 1</w:t>
            </w:r>
          </w:p>
        </w:tc>
        <w:tc>
          <w:tcPr>
            <w:tcW w:type="dxa" w:w="3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1</w:t>
            </w:r>
          </w:p>
        </w:tc>
        <w:tc>
          <w:tcPr>
            <w:tcW w:type="dxa" w:w="2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Collecte documentaire d'identité</w:t>
            </w:r>
          </w:p>
        </w:tc>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Dossier complet</w:t>
            </w:r>
          </w:p>
        </w:tc>
      </w:tr>
      <w:tr>
        <w:tc>
          <w:tcPr>
            <w:tcW w:type="dxa" w:w="1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Identifier</w:t>
            </w:r>
          </w:p>
        </w:tc>
        <w:tc>
          <w:tcPr>
            <w:tcW w:type="dxa" w:w="3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w:r>
          </w:p>
        </w:tc>
        <w:tc>
          <w:tcPr>
            <w:tcW w:type="dxa" w:w="2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(pièce d'identité + justificatif</w:t>
            </w:r>
          </w:p>
        </w:tc>
        <w:tc>
          <w:tcPr>
            <w:tcW w:type="dxa" w:w="2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Phase 2</w:t>
            </w:r>
          </w:p>
        </w:tc>
      </w:tr>
      <w:tr>
        <w:tc>
          <w:tcPr>
            <w:tcW w:type="dxa" w:w="1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w:r>
          </w:p>
        </w:tc>
        <w:tc>
          <w:tcPr>
            <w:tcW w:type="dxa" w:w="3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w:r>
          </w:p>
        </w:tc>
        <w:tc>
          <w:tcPr>
            <w:tcW w:type="dxa" w:w="2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domicile)</w:t>
            </w:r>
          </w:p>
        </w:tc>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w:r>
          </w:p>
        </w:tc>
      </w:tr>
      <w:tr>
        <w:tc>
          <w:tcPr>
            <w:tcW w:type="dxa" w:w="1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PHASE 2</w:t>
            </w:r>
          </w:p>
        </w:tc>
        <w:tc>
          <w:tcPr>
            <w:tcW w:type="dxa" w:w="3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2</w:t>
            </w:r>
          </w:p>
        </w:tc>
        <w:tc>
          <w:tcPr>
            <w:tcW w:type="dxa" w:w="2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Vérification de l'identité (conformité,</w:t>
            </w:r>
          </w:p>
        </w:tc>
        <w:tc>
          <w:tcPr>
            <w:tcW w:type="dxa" w:w="2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dentité vérifiée</w:t>
            </w:r>
          </w:p>
        </w:tc>
      </w:tr>
      <w:tr>
        <w:tc>
          <w:tcPr>
            <w:tcW w:type="dxa" w:w="1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Vérifier</w:t>
            </w:r>
          </w:p>
        </w:tc>
        <w:tc>
          <w:tcPr>
            <w:tcW w:type="dxa" w:w="3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w:r>
          </w:p>
        </w:tc>
        <w:tc>
          <w:tcPr>
            <w:tcW w:type="dxa" w:w="2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validité, cohérence)</w:t>
            </w:r>
          </w:p>
        </w:tc>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Phase 3</w:t>
            </w:r>
          </w:p>
        </w:tc>
      </w:tr>
      <w:tr>
        <w:tc>
          <w:tcPr>
            <w:tcW w:type="dxa" w:w="1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PHASE 3</w:t>
            </w:r>
          </w:p>
        </w:tc>
        <w:tc>
          <w:tcPr>
            <w:tcW w:type="dxa" w:w="3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3</w:t>
            </w:r>
          </w:p>
        </w:tc>
        <w:tc>
          <w:tcPr>
            <w:tcW w:type="dxa" w:w="2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Collecte des informations</w:t>
            </w:r>
          </w:p>
        </w:tc>
        <w:tc>
          <w:tcPr>
            <w:tcW w:type="dxa" w:w="2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Profil complet</w:t>
            </w:r>
          </w:p>
        </w:tc>
      </w:tr>
      <w:tr>
        <w:tc>
          <w:tcPr>
            <w:tcW w:type="dxa" w:w="1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Qualifier</w:t>
            </w:r>
          </w:p>
        </w:tc>
        <w:tc>
          <w:tcPr>
            <w:tcW w:type="dxa" w:w="3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w:r>
          </w:p>
        </w:tc>
        <w:tc>
          <w:tcPr>
            <w:tcW w:type="dxa" w:w="2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économiques (activité, origine fonds,</w:t>
            </w:r>
          </w:p>
        </w:tc>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Phase 4</w:t>
            </w:r>
          </w:p>
        </w:tc>
      </w:tr>
      <w:tr>
        <w:tc>
          <w:tcPr>
            <w:tcW w:type="dxa" w:w="1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w:r>
          </w:p>
        </w:tc>
        <w:tc>
          <w:tcPr>
            <w:tcW w:type="dxa" w:w="3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w:r>
          </w:p>
        </w:tc>
        <w:tc>
          <w:tcPr>
            <w:tcW w:type="dxa" w:w="2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objet de la relation)</w:t>
            </w:r>
          </w:p>
        </w:tc>
        <w:tc>
          <w:tcPr>
            <w:tcW w:type="dxa" w:w="2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w:r>
          </w:p>
        </w:tc>
      </w:tr>
      <w:tr>
        <w:tc>
          <w:tcPr>
            <w:tcW w:type="dxa" w:w="1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PHASE 4</w:t>
            </w:r>
          </w:p>
        </w:tc>
        <w:tc>
          <w:tcPr>
            <w:tcW w:type="dxa" w:w="3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4</w:t>
            </w:r>
          </w:p>
        </w:tc>
        <w:tc>
          <w:tcPr>
            <w:tcW w:type="dxa" w:w="2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Criblage initial (sanctions, PPE,</w:t>
            </w:r>
          </w:p>
        </w:tc>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Aucun match</w:t>
            </w:r>
          </w:p>
        </w:tc>
      </w:tr>
      <w:tr>
        <w:tc>
          <w:tcPr>
            <w:tcW w:type="dxa" w:w="1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Cribler</w:t>
            </w:r>
          </w:p>
        </w:tc>
        <w:tc>
          <w:tcPr>
            <w:tcW w:type="dxa" w:w="3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w:r>
          </w:p>
        </w:tc>
        <w:tc>
          <w:tcPr>
            <w:tcW w:type="dxa" w:w="2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adverse media) — détection</w:t>
            </w:r>
          </w:p>
        </w:tc>
        <w:tc>
          <w:tcPr>
            <w:tcW w:type="dxa" w:w="2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bloquant →</w:t>
            </w:r>
          </w:p>
        </w:tc>
      </w:tr>
      <w:tr>
        <w:tc>
          <w:tcPr>
            <w:tcW w:type="dxa" w:w="1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w:r>
          </w:p>
        </w:tc>
        <w:tc>
          <w:tcPr>
            <w:tcW w:type="dxa" w:w="3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w:r>
          </w:p>
        </w:tc>
        <w:tc>
          <w:tcPr>
            <w:tcW w:type="dxa" w:w="2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déclencheurs EDD</w:t>
            </w:r>
          </w:p>
        </w:tc>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Phase 5</w:t>
            </w:r>
          </w:p>
        </w:tc>
      </w:tr>
      <w:tr>
        <w:tc>
          <w:tcPr>
            <w:tcW w:type="dxa" w:w="1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PHASE 5</w:t>
            </w:r>
          </w:p>
        </w:tc>
        <w:tc>
          <w:tcPr>
            <w:tcW w:type="dxa" w:w="3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5</w:t>
            </w:r>
          </w:p>
        </w:tc>
        <w:tc>
          <w:tcPr>
            <w:tcW w:type="dxa" w:w="2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Décision d'acceptation et</w:t>
            </w:r>
          </w:p>
        </w:tc>
        <w:tc>
          <w:tcPr>
            <w:tcW w:type="dxa" w:w="2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Relation ouverte</w:t>
            </w:r>
          </w:p>
        </w:tc>
      </w:tr>
      <w:tr>
        <w:tc>
          <w:tcPr>
            <w:tcW w:type="dxa" w:w="1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Décider</w:t>
            </w:r>
          </w:p>
        </w:tc>
        <w:tc>
          <w:tcPr>
            <w:tcW w:type="dxa" w:w="3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w:r>
          </w:p>
        </w:tc>
        <w:tc>
          <w:tcPr>
            <w:tcW w:type="dxa" w:w="2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documentation du dossier</w:t>
            </w:r>
          </w:p>
        </w:tc>
        <w:tc>
          <w:tcPr>
            <w:tcW w:type="dxa" w:w="2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ou refusée</w:t>
            </w:r>
          </w:p>
        </w:tc>
      </w:tr>
    </w:tbl>
    <w:p>
      <w:pPr>
        <w:spacing w:before="100" w:after="0"/>
      </w:pPr>
    </w:p>
    <w:p>
      <w:pPr>
        <w:spacing w:before="60" w:after="0"/>
      </w:pPr>
    </w:p>
    <w:p>
      <w:pPr>
        <w:pStyle w:val="Heading2"/>
        <w:spacing w:before="240" w:after="100"/>
      </w:pPr>
      <w:r>
        <w:rPr>
          <w:rFonts w:ascii="Calibri" w:cs="Calibri" w:eastAsia="Calibri" w:hAnsi="Calibri"/>
          <w:b/>
          <w:bCs/>
          <w:color w:val="000000"/>
          <w:sz w:val="24"/>
          <w:szCs w:val="24"/>
        </w:rPr>
        <w:t xml:space="preserve">3 — Cadre normatif</w:t>
      </w:r>
    </w:p>
    <w:p>
      <w:pPr>
        <w:spacing w:before="60" w:after="0"/>
      </w:pPr>
    </w:p>
    <w:p>
      <w:pPr>
        <w:pStyle w:val="Heading3"/>
        <w:spacing w:before="180" w:after="80"/>
      </w:pPr>
      <w:r>
        <w:rPr>
          <w:rFonts w:ascii="Calibri" w:cs="Calibri" w:eastAsia="Calibri" w:hAnsi="Calibri"/>
          <w:b/>
          <w:bCs/>
          <w:color w:val="1F1F1F"/>
          <w:sz w:val="22"/>
          <w:szCs w:val="22"/>
        </w:rPr>
        <w:t xml:space="preserve">3.1. Niveau international (GAFI)</w:t>
      </w:r>
    </w:p>
    <w:p>
      <w:pPr>
        <w:spacing w:before="60" w:after="0"/>
      </w:pPr>
    </w:p>
    <w:p>
      <w:pPr>
        <w:pStyle w:val="ListParagraph"/>
        <w:numPr>
          <w:ilvl w:val="0"/>
          <w:numId w:val="2"/>
        </w:numPr>
        <w:spacing w:before="40" w:after="40"/>
      </w:pPr>
      <w:r>
        <w:rPr>
          <w:rFonts w:ascii="Calibri" w:cs="Calibri" w:eastAsia="Calibri" w:hAnsi="Calibri"/>
          <w:color w:val="1F1F1F"/>
          <w:sz w:val="22"/>
          <w:szCs w:val="22"/>
        </w:rPr>
        <w:t xml:space="preserve">Recommandation 10 — Customer Due Diligence : identification et vérification de l'identité du client avant ou pendant l'établissement de la relation d'affaires</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Recommandation 12 — PPE : mesures renforcées applicables dès l'identification d'une PPE</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Note interprétative R.10 — Documents, données ou informations fiables et indépendants comme base de la vérification</w:t>
      </w:r>
    </w:p>
    <w:p>
      <w:pPr>
        <w:spacing w:before="60" w:after="0"/>
      </w:pPr>
    </w:p>
    <w:p>
      <w:pPr>
        <w:pStyle w:val="Heading3"/>
        <w:spacing w:before="180" w:after="80"/>
      </w:pPr>
      <w:r>
        <w:rPr>
          <w:rFonts w:ascii="Calibri" w:cs="Calibri" w:eastAsia="Calibri" w:hAnsi="Calibri"/>
          <w:b/>
          <w:bCs/>
          <w:color w:val="1F1F1F"/>
          <w:sz w:val="22"/>
          <w:szCs w:val="22"/>
        </w:rPr>
        <w:t xml:space="preserve">3.2. Niveau européen (UE)</w:t>
      </w:r>
    </w:p>
    <w:p>
      <w:pPr>
        <w:spacing w:before="60" w:after="0"/>
      </w:pPr>
    </w:p>
    <w:p>
      <w:pPr>
        <w:pStyle w:val="ListParagraph"/>
        <w:numPr>
          <w:ilvl w:val="0"/>
          <w:numId w:val="2"/>
        </w:numPr>
        <w:spacing w:before="40" w:after="40"/>
      </w:pPr>
      <w:r>
        <w:rPr>
          <w:rFonts w:ascii="Calibri" w:cs="Calibri" w:eastAsia="Calibri" w:hAnsi="Calibri"/>
          <w:color w:val="1F1F1F"/>
          <w:sz w:val="22"/>
          <w:szCs w:val="22"/>
        </w:rPr>
        <w:t xml:space="preserve">AMLD4 (Directive 2015/849) — Art. 13 : mesures de vigilance standard ; Art. 14 : moment de la vérification</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AMLD5 (Directive 2018/843) — Renforcement des obligations d'identification à distance</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AMLR 2024/1624 — Application directe 10 juillet 2027 : harmonisation des modalités de vérification d'identité, validation des moyens d'identification électronique eIDAS 2.0</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eIDAS 2 (Règlement UE 2024/1183) — Portefeuille d'identité numérique européen : futur standard d'identification à distance</w:t>
      </w: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C0C0" w:sz="4"/>
              <w:left w:val="single" w:color="C0C0C0" w:sz="4"/>
              <w:bottom w:val="single" w:color="C0C0C0" w:sz="4"/>
              <w:right w:val="single" w:color="C0C0C0" w:sz="4"/>
            </w:tcBorders>
            <w:shd w:fill="F5F5F5" w:val="clear"/>
            <w:tcMar>
              <w:top w:type="dxa" w:w="80"/>
              <w:left w:type="dxa" w:w="160"/>
              <w:bottom w:type="dxa" w:w="40"/>
              <w:right w:type="dxa" w:w="160"/>
            </w:tcMar>
          </w:tcPr>
          <w:p>
            <w:r>
              <w:rPr>
                <w:rFonts w:ascii="Calibri" w:cs="Calibri" w:eastAsia="Calibri" w:hAnsi="Calibri"/>
                <w:b/>
                <w:bCs/>
                <w:color w:val="1F1F1F"/>
                <w:sz w:val="20"/>
                <w:szCs w:val="20"/>
              </w:rPr>
              <w:t xml:space="preserve">⏳  Évolution réglementaire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 ÉVOLUTION RÉGLEMENTAIRE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AMLR (application : 10 juillet 2027) — Les modalités de vérification</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d'identité seront harmonisées au niveau européen.</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eIDAS 2 — Le portefeuille d'identité numérique européen</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(EUDIW) constituera un moyen de vérification à distance de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niveau élevé de garantie. À intégrer dans les processus</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d'onboarding digital dès disponibilité.</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AMLA — Des RTS préciseront les exigences minimales de vérification</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selon les canaux. Surveiller les consultations publiques 2025-2026.</w:t>
            </w:r>
          </w:p>
        </w:tc>
      </w:tr>
      <w:tr>
        <w:tc>
          <w:tcPr>
            <w:tcW w:type="dxa" w:w="9200"/>
            <w:tcBorders>
              <w:top w:val="single" w:color="C0C0C0" w:sz="4"/>
              <w:left w:val="single" w:color="C0C0C0" w:sz="4"/>
              <w:bottom w:val="single" w:color="C0C0C0" w:sz="4"/>
              <w:right w:val="single" w:color="C0C0C0" w:sz="4"/>
            </w:tcBorders>
            <w:shd w:fill="F5F5F5" w:val="clear"/>
            <w:tcMar>
              <w:top w:type="dxa" w:w="2"/>
              <w:bottom w:type="dxa" w:w="2"/>
            </w:tcMar>
          </w:tcPr>
          <w:p/>
        </w:tc>
      </w:tr>
    </w:tbl>
    <w:p>
      <w:pPr>
        <w:spacing w:before="80" w:after="0"/>
      </w:pPr>
    </w:p>
    <w:p>
      <w:pPr>
        <w:spacing w:before="60" w:after="0"/>
      </w:pPr>
    </w:p>
    <w:p>
      <w:pPr>
        <w:pStyle w:val="Heading3"/>
        <w:spacing w:before="180" w:after="80"/>
      </w:pPr>
      <w:r>
        <w:rPr>
          <w:rFonts w:ascii="Calibri" w:cs="Calibri" w:eastAsia="Calibri" w:hAnsi="Calibri"/>
          <w:b/>
          <w:bCs/>
          <w:color w:val="1F1F1F"/>
          <w:sz w:val="22"/>
          <w:szCs w:val="22"/>
        </w:rPr>
        <w:t xml:space="preserve">3.3. Niveau national français</w:t>
      </w: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400"/>
      </w:tblGrid>
      <w:tr>
        <w:tc>
          <w:tcPr>
            <w:tcW w:type="dxa" w:w="22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Article</w:t>
            </w:r>
          </w:p>
        </w:tc>
        <w:tc>
          <w:tcPr>
            <w:tcW w:type="dxa" w:w="46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Objet</w:t>
            </w:r>
          </w:p>
        </w:tc>
        <w:tc>
          <w:tcPr>
            <w:tcW w:type="dxa" w:w="24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Caractère</w:t>
            </w:r>
          </w:p>
        </w:tc>
      </w:tr>
      <w:tr>
        <w:tc>
          <w:tcPr>
            <w:tcW w:type="dxa" w:w="2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L.561-5 CMF</w:t>
            </w:r>
          </w:p>
        </w:tc>
        <w:tc>
          <w:tcPr>
            <w:tcW w:type="dxa" w:w="46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Obligation d'identification PP préalable à l'EER</w:t>
            </w:r>
          </w:p>
        </w:tc>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Obligatoire</w:t>
            </w:r>
          </w:p>
        </w:tc>
      </w:tr>
      <w:tr>
        <w:tc>
          <w:tcPr>
            <w:tcW w:type="dxa" w:w="2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R.561-5 CMF</w:t>
            </w:r>
          </w:p>
        </w:tc>
        <w:tc>
          <w:tcPr>
            <w:tcW w:type="dxa" w:w="46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Document officiel en cours de validité avec photographie</w:t>
            </w:r>
          </w:p>
        </w:tc>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Obligatoire</w:t>
            </w:r>
          </w:p>
        </w:tc>
      </w:tr>
      <w:tr>
        <w:tc>
          <w:tcPr>
            <w:tcW w:type="dxa" w:w="2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R.561-5-1 CMF</w:t>
            </w:r>
          </w:p>
        </w:tc>
        <w:tc>
          <w:tcPr>
            <w:tcW w:type="dxa" w:w="46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Identification à distance : mesures compensatoires (doc certifié, virement depuis compte identifié, ID électronique)</w:t>
            </w:r>
          </w:p>
        </w:tc>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Obligatoire si canal distant</w:t>
            </w:r>
          </w:p>
        </w:tc>
      </w:tr>
      <w:tr>
        <w:tc>
          <w:tcPr>
            <w:tcW w:type="dxa" w:w="2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R.561-10 CMF</w:t>
            </w:r>
          </w:p>
        </w:tc>
        <w:tc>
          <w:tcPr>
            <w:tcW w:type="dxa" w:w="46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Exception : vérification pendant l'EER (services paiement, assurance-vie)</w:t>
            </w:r>
          </w:p>
        </w:tc>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Conditionnel (encadré)</w:t>
            </w:r>
          </w:p>
        </w:tc>
      </w:tr>
      <w:tr>
        <w:tc>
          <w:tcPr>
            <w:tcW w:type="dxa" w:w="2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L.561-6 CMF</w:t>
            </w:r>
          </w:p>
        </w:tc>
        <w:tc>
          <w:tcPr>
            <w:tcW w:type="dxa" w:w="46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Vigilance constante : mise à jour des informations tout au long de la relation</w:t>
            </w:r>
          </w:p>
        </w:tc>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Obligatoire (continu)</w:t>
            </w:r>
          </w:p>
        </w:tc>
      </w:tr>
      <w:tr>
        <w:tc>
          <w:tcPr>
            <w:tcW w:type="dxa" w:w="2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L.561-8 CMF</w:t>
            </w:r>
          </w:p>
        </w:tc>
        <w:tc>
          <w:tcPr>
            <w:tcW w:type="dxa" w:w="46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Impossibilité d'identification → refus ou rupture + évaluation soupçon</w:t>
            </w:r>
          </w:p>
        </w:tc>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Obligatoire</w:t>
            </w:r>
          </w:p>
        </w:tc>
      </w:tr>
      <w:tr>
        <w:tc>
          <w:tcPr>
            <w:tcW w:type="dxa" w:w="2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L.561-12 CMF</w:t>
            </w:r>
          </w:p>
        </w:tc>
        <w:tc>
          <w:tcPr>
            <w:tcW w:type="dxa" w:w="46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Conservation des pièces 5 ans après fin de relation</w:t>
            </w:r>
          </w:p>
        </w:tc>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Obligatoire</w:t>
            </w:r>
          </w:p>
        </w:tc>
      </w:tr>
      <w:tr>
        <w:tc>
          <w:tcPr>
            <w:tcW w:type="dxa" w:w="2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R.561-38 CMF</w:t>
            </w:r>
          </w:p>
        </w:tc>
        <w:tc>
          <w:tcPr>
            <w:tcW w:type="dxa" w:w="46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Obligations de conservation : nature des documents à conserver</w:t>
            </w:r>
          </w:p>
        </w:tc>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Obligatoire</w:t>
            </w:r>
          </w:p>
        </w:tc>
      </w:tr>
    </w:tbl>
    <w:p>
      <w:pPr>
        <w:spacing w:before="100" w:after="0"/>
      </w:pPr>
    </w:p>
    <w:p>
      <w:pPr>
        <w:pStyle w:val="Heading3"/>
        <w:spacing w:before="180" w:after="80"/>
      </w:pPr>
      <w:r>
        <w:rPr>
          <w:rFonts w:ascii="Calibri" w:cs="Calibri" w:eastAsia="Calibri" w:hAnsi="Calibri"/>
          <w:b/>
          <w:bCs/>
          <w:color w:val="1F1F1F"/>
          <w:sz w:val="22"/>
          <w:szCs w:val="22"/>
        </w:rPr>
        <w:t xml:space="preserve">3.4. Doctrine et soft law</w:t>
      </w:r>
    </w:p>
    <w:p>
      <w:pPr>
        <w:spacing w:before="60" w:after="0"/>
      </w:pPr>
    </w:p>
    <w:p>
      <w:pPr>
        <w:pStyle w:val="ListParagraph"/>
        <w:numPr>
          <w:ilvl w:val="0"/>
          <w:numId w:val="2"/>
        </w:numPr>
        <w:spacing w:before="40" w:after="40"/>
      </w:pPr>
      <w:r>
        <w:rPr>
          <w:rFonts w:ascii="Calibri" w:cs="Calibri" w:eastAsia="Calibri" w:hAnsi="Calibri"/>
          <w:color w:val="1F1F1F"/>
          <w:sz w:val="22"/>
          <w:szCs w:val="22"/>
        </w:rPr>
        <w:t xml:space="preserve">Lignes directrices conjointes ACPR/Tracfin — Identification et vérification de l'identité des clients (révisées 2023)</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Position-recommandation AMF DOC-2019-16 — Obligations de vigilance</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Lignes directrices EBA/GL/2021/02 — Customer Due Diligence and the factors credit and financial institutions should consider when assessing the money laundering and terrorist financing risk</w:t>
      </w:r>
    </w:p>
    <w:p>
      <w:pPr>
        <w:spacing w:before="60" w:after="0"/>
      </w:pPr>
    </w:p>
    <w:p>
      <w:pPr>
        <w:spacing w:before="60" w:after="0"/>
      </w:pPr>
    </w:p>
    <w:p>
      <w:pPr>
        <w:pStyle w:val="Heading2"/>
        <w:spacing w:before="240" w:after="100"/>
      </w:pPr>
      <w:r>
        <w:rPr>
          <w:rFonts w:ascii="Calibri" w:cs="Calibri" w:eastAsia="Calibri" w:hAnsi="Calibri"/>
          <w:b/>
          <w:bCs/>
          <w:color w:val="000000"/>
          <w:sz w:val="24"/>
          <w:szCs w:val="24"/>
        </w:rPr>
        <w:t xml:space="preserve">4 — Étapes détaillées</w:t>
      </w:r>
    </w:p>
    <w:p>
      <w:pPr>
        <w:spacing w:before="60" w:after="0"/>
      </w:pPr>
    </w:p>
    <w:p>
      <w:pPr>
        <w:pStyle w:val="Heading3"/>
        <w:spacing w:before="180" w:after="80"/>
      </w:pPr>
      <w:r>
        <w:rPr>
          <w:rFonts w:ascii="Calibri" w:cs="Calibri" w:eastAsia="Calibri" w:hAnsi="Calibri"/>
          <w:b/>
          <w:bCs/>
          <w:color w:val="1F1F1F"/>
          <w:sz w:val="22"/>
          <w:szCs w:val="22"/>
        </w:rPr>
        <w:t xml:space="preserve">4.1. Étape 1 — Collecte documentaire d'identité</w:t>
      </w:r>
    </w:p>
    <w:p>
      <w:pPr>
        <w:spacing w:before="60" w:after="0"/>
      </w:pPr>
    </w:p>
    <w:p>
      <w:pPr>
        <w:spacing w:before="60" w:after="80"/>
      </w:pPr>
      <w:r>
        <w:rPr>
          <w:rFonts w:ascii="Calibri" w:cs="Calibri" w:eastAsia="Calibri" w:hAnsi="Calibri"/>
          <w:color w:val="1F1F1F"/>
          <w:sz w:val="22"/>
          <w:szCs w:val="22"/>
        </w:rPr>
        <w:t xml:space="preserve">Pièces d'identité acceptables (R.561-5 CMF)</w:t>
      </w:r>
    </w:p>
    <w:p>
      <w:pPr>
        <w:spacing w:before="60" w:after="0"/>
      </w:pPr>
    </w:p>
    <w:p>
      <w:pPr>
        <w:spacing w:before="60" w:after="80"/>
      </w:pPr>
      <w:r>
        <w:rPr>
          <w:rFonts w:ascii="Calibri" w:cs="Calibri" w:eastAsia="Calibri" w:hAnsi="Calibri"/>
          <w:color w:val="1F1F1F"/>
          <w:sz w:val="22"/>
          <w:szCs w:val="22"/>
        </w:rPr>
        <w:t xml:space="preserve">Document officiel en cours de validité comportant photographie, délivré par une autorité publique habilitée.</w:t>
      </w: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400"/>
      </w:tblGrid>
      <w:tr>
        <w:tc>
          <w:tcPr>
            <w:tcW w:type="dxa" w:w="22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Document</w:t>
            </w:r>
          </w:p>
        </w:tc>
        <w:tc>
          <w:tcPr>
            <w:tcW w:type="dxa" w:w="46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Présentiel*</w:t>
            </w:r>
          </w:p>
        </w:tc>
        <w:tc>
          <w:tcPr>
            <w:tcW w:type="dxa" w:w="24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Distance</w:t>
            </w:r>
          </w:p>
        </w:tc>
      </w:tr>
      <w:tr>
        <w:tc>
          <w:tcPr>
            <w:tcW w:type="dxa" w:w="2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Carte nationale d'identité (CNI)</w:t>
            </w:r>
          </w:p>
        </w:tc>
        <w:tc>
          <w:tcPr>
            <w:tcW w:type="dxa" w:w="46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w:t>
            </w:r>
          </w:p>
        </w:tc>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(avec mesures compensatoires)</w:t>
            </w:r>
          </w:p>
        </w:tc>
      </w:tr>
      <w:tr>
        <w:tc>
          <w:tcPr>
            <w:tcW w:type="dxa" w:w="2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Passeport</w:t>
            </w:r>
          </w:p>
        </w:tc>
        <w:tc>
          <w:tcPr>
            <w:tcW w:type="dxa" w:w="46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w:t>
            </w:r>
          </w:p>
        </w:tc>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(avec mesures compensatoires)</w:t>
            </w:r>
          </w:p>
        </w:tc>
      </w:tr>
      <w:tr>
        <w:tc>
          <w:tcPr>
            <w:tcW w:type="dxa" w:w="2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Titre de séjour (UE/non-UE)</w:t>
            </w:r>
          </w:p>
        </w:tc>
        <w:tc>
          <w:tcPr>
            <w:tcW w:type="dxa" w:w="46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w:t>
            </w:r>
          </w:p>
        </w:tc>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Cas par cas</w:t>
            </w:r>
          </w:p>
        </w:tc>
      </w:tr>
      <w:tr>
        <w:tc>
          <w:tcPr>
            <w:tcW w:type="dxa" w:w="2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Permis de conduire (UE)</w:t>
            </w:r>
          </w:p>
        </w:tc>
        <w:tc>
          <w:tcPr>
            <w:tcW w:type="dxa" w:w="46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w:t>
            </w:r>
          </w:p>
        </w:tc>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Non recommandé seul</w:t>
            </w:r>
          </w:p>
        </w:tc>
      </w:tr>
    </w:tbl>
    <w:p>
      <w:pPr>
        <w:spacing w:before="10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C0C0" w:sz="4"/>
              <w:left w:val="single" w:color="C0C0C0" w:sz="4"/>
              <w:bottom w:val="single" w:color="C0C0C0" w:sz="4"/>
              <w:right w:val="single" w:color="C0C0C0" w:sz="4"/>
            </w:tcBorders>
            <w:shd w:fill="F5F5F5" w:val="clear"/>
            <w:tcMar>
              <w:top w:type="dxa" w:w="80"/>
              <w:left w:type="dxa" w:w="160"/>
              <w:bottom w:type="dxa" w:w="40"/>
              <w:right w:type="dxa" w:w="160"/>
            </w:tcMar>
          </w:tcPr>
          <w:p>
            <w:r>
              <w:rPr>
                <w:rFonts w:ascii="Calibri" w:cs="Calibri" w:eastAsia="Calibri" w:hAnsi="Calibri"/>
                <w:b/>
                <w:bCs/>
                <w:color w:val="1F1F1F"/>
                <w:sz w:val="20"/>
                <w:szCs w:val="20"/>
              </w:rPr>
              <w:t xml:space="preserve">✎  Note opérationnelle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 NOTE EARLY BRIEF — PIÈCE PÉRIMÉE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Une pièce d'identité expirée depuis moins de 5 ans peut être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acceptée pour justifier de la nationalité française uniquement.</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Pour la vérification d'identité LCB-FT, la pièce doit être en</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cours de validité (R.561-5). Ne pas confondre les deux usages.</w:t>
            </w:r>
          </w:p>
        </w:tc>
      </w:tr>
      <w:tr>
        <w:tc>
          <w:tcPr>
            <w:tcW w:type="dxa" w:w="9200"/>
            <w:tcBorders>
              <w:top w:val="single" w:color="C0C0C0" w:sz="4"/>
              <w:left w:val="single" w:color="C0C0C0" w:sz="4"/>
              <w:bottom w:val="single" w:color="C0C0C0" w:sz="4"/>
              <w:right w:val="single" w:color="C0C0C0" w:sz="4"/>
            </w:tcBorders>
            <w:shd w:fill="F5F5F5" w:val="clear"/>
            <w:tcMar>
              <w:top w:type="dxa" w:w="2"/>
              <w:bottom w:type="dxa" w:w="2"/>
            </w:tcMar>
          </w:tcPr>
          <w:p/>
        </w:tc>
      </w:tr>
    </w:tbl>
    <w:p>
      <w:pPr>
        <w:spacing w:before="80" w:after="0"/>
      </w:pPr>
    </w:p>
    <w:p>
      <w:pPr>
        <w:spacing w:before="60" w:after="0"/>
      </w:pPr>
    </w:p>
    <w:p>
      <w:pPr>
        <w:spacing w:before="60" w:after="80"/>
      </w:pPr>
      <w:r>
        <w:rPr>
          <w:rFonts w:ascii="Calibri" w:cs="Calibri" w:eastAsia="Calibri" w:hAnsi="Calibri"/>
          <w:color w:val="1F1F1F"/>
          <w:sz w:val="22"/>
          <w:szCs w:val="22"/>
        </w:rPr>
        <w:t xml:space="preserve">Justificatif de domicile</w:t>
      </w:r>
    </w:p>
    <w:p>
      <w:pPr>
        <w:spacing w:before="60" w:after="0"/>
      </w:pPr>
    </w:p>
    <w:p>
      <w:pPr>
        <w:spacing w:before="60" w:after="80"/>
      </w:pPr>
      <w:r>
        <w:rPr>
          <w:rFonts w:ascii="Calibri" w:cs="Calibri" w:eastAsia="Calibri" w:hAnsi="Calibri"/>
          <w:color w:val="1F1F1F"/>
          <w:sz w:val="22"/>
          <w:szCs w:val="22"/>
        </w:rPr>
        <w:t xml:space="preserve">Tout document de moins de 3 mois établissant la résidence : facture opérateur, avis d'imposition, relevé bancaire, quittance de loyer.</w:t>
      </w:r>
    </w:p>
    <w:p>
      <w:pPr>
        <w:spacing w:before="60" w:after="0"/>
      </w:pPr>
    </w:p>
    <w:p>
      <w:pPr>
        <w:spacing w:before="60" w:after="80"/>
      </w:pPr>
      <w:r>
        <w:rPr>
          <w:rFonts w:ascii="Calibri" w:cs="Calibri" w:eastAsia="Calibri" w:hAnsi="Calibri"/>
          <w:color w:val="1F1F1F"/>
          <w:sz w:val="22"/>
          <w:szCs w:val="22"/>
        </w:rPr>
        <w:t xml:space="preserve">Vérifications de forme</w:t>
      </w:r>
    </w:p>
    <w:p>
      <w:pPr>
        <w:spacing w:before="60" w:after="0"/>
      </w:pPr>
    </w:p>
    <w:p>
      <w:pPr>
        <w:pStyle w:val="ListParagraph"/>
        <w:numPr>
          <w:ilvl w:val="0"/>
          <w:numId w:val="2"/>
        </w:numPr>
        <w:spacing w:before="40" w:after="40"/>
      </w:pPr>
      <w:r>
        <w:rPr>
          <w:rFonts w:ascii="Calibri" w:cs="Calibri" w:eastAsia="Calibri" w:hAnsi="Calibri"/>
          <w:color w:val="1F1F1F"/>
          <w:sz w:val="22"/>
          <w:szCs w:val="22"/>
        </w:rPr>
        <w:t xml:space="preserve">Cohérence entre les données (nom, prénom, date de naissance, photo)</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Absence d'altération visible (grattage, surimpression, incohérence typographique)</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Validité de la période (date d'expiration)</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Pour les documents étrangers : recours si nécessaire à un outil de vérification documentaire ou à une traduction certifiée</w:t>
      </w:r>
    </w:p>
    <w:p>
      <w:pPr>
        <w:spacing w:before="60" w:after="0"/>
      </w:pPr>
    </w:p>
    <w:p>
      <w:pPr>
        <w:spacing w:before="60" w:after="80"/>
      </w:pPr>
      <w:r>
        <w:rPr>
          <w:rFonts w:ascii="Calibri" w:cs="Calibri" w:eastAsia="Calibri" w:hAnsi="Calibri"/>
          <w:color w:val="1F1F1F"/>
          <w:sz w:val="22"/>
          <w:szCs w:val="22"/>
        </w:rPr>
        <w:t xml:space="preserve">▼</w:t>
      </w:r>
    </w:p>
    <w:p>
      <w:pPr>
        <w:spacing w:before="60" w:after="0"/>
      </w:pPr>
    </w:p>
    <w:p>
      <w:pPr>
        <w:spacing w:before="60" w:after="80"/>
      </w:pPr>
      <w:r>
        <w:rPr>
          <w:rFonts w:ascii="Calibri" w:cs="Calibri" w:eastAsia="Calibri" w:hAnsi="Calibri"/>
          <w:color w:val="1F1F1F"/>
          <w:sz w:val="22"/>
          <w:szCs w:val="22"/>
        </w:rPr>
        <w:t xml:space="preserve">◆ GATE : Dossier documentaire complet et cohérent ? OUI → Étape 2 | NON → Demande de complément ou refus si impossible</w:t>
      </w:r>
    </w:p>
    <w:p>
      <w:pPr>
        <w:spacing w:before="60" w:after="0"/>
      </w:pPr>
    </w:p>
    <w:p>
      <w:pPr>
        <w:spacing w:before="60" w:after="80"/>
      </w:pPr>
      <w:r>
        <w:rPr>
          <w:rFonts w:ascii="Calibri" w:cs="Calibri" w:eastAsia="Calibri" w:hAnsi="Calibri"/>
          <w:color w:val="1F1F1F"/>
          <w:sz w:val="22"/>
          <w:szCs w:val="22"/>
        </w:rPr>
        <w:t xml:space="preserve">▼</w:t>
      </w:r>
    </w:p>
    <w:p>
      <w:pPr>
        <w:spacing w:before="60" w:after="0"/>
      </w:pPr>
    </w:p>
    <w:p>
      <w:pPr>
        <w:pStyle w:val="Heading3"/>
        <w:spacing w:before="180" w:after="80"/>
      </w:pPr>
      <w:r>
        <w:rPr>
          <w:rFonts w:ascii="Calibri" w:cs="Calibri" w:eastAsia="Calibri" w:hAnsi="Calibri"/>
          <w:b/>
          <w:bCs/>
          <w:color w:val="1F1F1F"/>
          <w:sz w:val="22"/>
          <w:szCs w:val="22"/>
        </w:rPr>
        <w:t xml:space="preserve">4.2. Étape 2 — Vérification de l'identité</w:t>
      </w:r>
    </w:p>
    <w:p>
      <w:pPr>
        <w:spacing w:before="60" w:after="0"/>
      </w:pPr>
    </w:p>
    <w:p>
      <w:pPr>
        <w:spacing w:before="60" w:after="80"/>
      </w:pPr>
      <w:r>
        <w:rPr>
          <w:rFonts w:ascii="Calibri" w:cs="Calibri" w:eastAsia="Calibri" w:hAnsi="Calibri"/>
          <w:color w:val="1F1F1F"/>
          <w:sz w:val="22"/>
          <w:szCs w:val="22"/>
        </w:rPr>
        <w:t xml:space="preserve">En présentiel</w:t>
      </w:r>
    </w:p>
    <w:p>
      <w:pPr>
        <w:spacing w:before="60" w:after="0"/>
      </w:pPr>
    </w:p>
    <w:p>
      <w:pPr>
        <w:pStyle w:val="ListParagraph"/>
        <w:numPr>
          <w:ilvl w:val="0"/>
          <w:numId w:val="2"/>
        </w:numPr>
        <w:spacing w:before="40" w:after="40"/>
      </w:pPr>
      <w:r>
        <w:rPr>
          <w:rFonts w:ascii="Calibri" w:cs="Calibri" w:eastAsia="Calibri" w:hAnsi="Calibri"/>
          <w:color w:val="1F1F1F"/>
          <w:sz w:val="22"/>
          <w:szCs w:val="22"/>
        </w:rPr>
        <w:t xml:space="preserve">Présentation physique du document original</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Comparaison du porteur avec la photo</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Contrôle des éléments de sécurité (hologramme, microimpression, UV si équipement disponible)</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Copie recto/verso conservée au dossier (obligatoire — L.561-12)</w:t>
      </w:r>
    </w:p>
    <w:p>
      <w:pPr>
        <w:spacing w:before="60" w:after="0"/>
      </w:pPr>
    </w:p>
    <w:p>
      <w:pPr>
        <w:spacing w:before="60" w:after="80"/>
      </w:pPr>
      <w:r>
        <w:rPr>
          <w:rFonts w:ascii="Calibri" w:cs="Calibri" w:eastAsia="Calibri" w:hAnsi="Calibri"/>
          <w:color w:val="1F1F1F"/>
          <w:sz w:val="22"/>
          <w:szCs w:val="22"/>
        </w:rPr>
        <w:t xml:space="preserve">À distance (R.561-5-1 CMF)</w:t>
      </w:r>
    </w:p>
    <w:p>
      <w:pPr>
        <w:spacing w:before="60" w:after="0"/>
      </w:pPr>
    </w:p>
    <w:p>
      <w:pPr>
        <w:spacing w:before="60" w:after="80"/>
      </w:pPr>
      <w:r>
        <w:rPr>
          <w:rFonts w:ascii="Calibri" w:cs="Calibri" w:eastAsia="Calibri" w:hAnsi="Calibri"/>
          <w:color w:val="1F1F1F"/>
          <w:sz w:val="22"/>
          <w:szCs w:val="22"/>
        </w:rPr>
        <w:t xml:space="preserve">La vérification à distance requiert des mesures compensatoires. Au moins une des méthodes suivantes :</w:t>
      </w: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c>
          <w:tcPr>
            <w:tcW w:type="dxa" w:w="34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Méthode</w:t>
            </w:r>
          </w:p>
        </w:tc>
        <w:tc>
          <w:tcPr>
            <w:tcW w:type="dxa" w:w="58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Niveau</w:t>
            </w:r>
          </w:p>
        </w:tc>
      </w:tr>
      <w:tr>
        <w:tc>
          <w:tcPr>
            <w:tcW w:type="dxa" w:w="3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Solution d'identification électronique</w:t>
            </w:r>
          </w:p>
        </w:tc>
        <w:tc>
          <w:tcPr>
            <w:tcW w:type="dxa" w:w="5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Élevé</w:t>
            </w:r>
          </w:p>
        </w:tc>
      </w:tr>
      <w:tr>
        <w:tc>
          <w:tcPr>
            <w:tcW w:type="dxa" w:w="3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eIDAS niveau substantiel ou élevé</w:t>
            </w:r>
          </w:p>
        </w:tc>
        <w:tc>
          <w:tcPr>
            <w:tcW w:type="dxa" w:w="5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(recommandé)</w:t>
            </w:r>
          </w:p>
        </w:tc>
      </w:tr>
      <w:tr>
        <w:tc>
          <w:tcPr>
            <w:tcW w:type="dxa" w:w="3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Virement de confirmation depuis un compte</w:t>
            </w:r>
          </w:p>
        </w:tc>
        <w:tc>
          <w:tcPr>
            <w:tcW w:type="dxa" w:w="5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Moyen</w:t>
            </w:r>
          </w:p>
        </w:tc>
      </w:tr>
      <w:tr>
        <w:tc>
          <w:tcPr>
            <w:tcW w:type="dxa" w:w="3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bancaire ouvert au nom du client (compte</w:t>
            </w:r>
          </w:p>
        </w:tc>
        <w:tc>
          <w:tcPr>
            <w:tcW w:type="dxa" w:w="5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w:r>
          </w:p>
        </w:tc>
      </w:tr>
      <w:tr>
        <w:tc>
          <w:tcPr>
            <w:tcW w:type="dxa" w:w="3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identifié dans un établissement EU/EEE)</w:t>
            </w:r>
          </w:p>
        </w:tc>
        <w:tc>
          <w:tcPr>
            <w:tcW w:type="dxa" w:w="5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w:r>
          </w:p>
        </w:tc>
      </w:tr>
      <w:tr>
        <w:tc>
          <w:tcPr>
            <w:tcW w:type="dxa" w:w="3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Copie certifiée conforme par autorité</w:t>
            </w:r>
          </w:p>
        </w:tc>
        <w:tc>
          <w:tcPr>
            <w:tcW w:type="dxa" w:w="5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Moyen</w:t>
            </w:r>
          </w:p>
        </w:tc>
      </w:tr>
      <w:tr>
        <w:tc>
          <w:tcPr>
            <w:tcW w:type="dxa" w:w="3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habilitée (notaire, consulat)</w:t>
            </w:r>
          </w:p>
        </w:tc>
        <w:tc>
          <w:tcPr>
            <w:tcW w:type="dxa" w:w="5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w:r>
          </w:p>
        </w:tc>
      </w:tr>
      <w:tr>
        <w:tc>
          <w:tcPr>
            <w:tcW w:type="dxa" w:w="3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Vidéo-identification avec agent (live)</w:t>
            </w:r>
          </w:p>
        </w:tc>
        <w:tc>
          <w:tcPr>
            <w:tcW w:type="dxa" w:w="5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Moyen</w:t>
            </w:r>
          </w:p>
        </w:tc>
      </w:tr>
    </w:tbl>
    <w:p>
      <w:pPr>
        <w:spacing w:before="10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C0C0" w:sz="4"/>
              <w:left w:val="single" w:color="C0C0C0" w:sz="4"/>
              <w:bottom w:val="single" w:color="C0C0C0" w:sz="4"/>
              <w:right w:val="single" w:color="C0C0C0" w:sz="4"/>
            </w:tcBorders>
            <w:shd w:fill="F5F5F5" w:val="clear"/>
            <w:tcMar>
              <w:top w:type="dxa" w:w="80"/>
              <w:left w:type="dxa" w:w="160"/>
              <w:bottom w:type="dxa" w:w="40"/>
              <w:right w:type="dxa" w:w="160"/>
            </w:tcMar>
          </w:tcPr>
          <w:p>
            <w:r>
              <w:rPr>
                <w:rFonts w:ascii="Calibri" w:cs="Calibri" w:eastAsia="Calibri" w:hAnsi="Calibri"/>
                <w:b/>
                <w:bCs/>
                <w:color w:val="1F1F1F"/>
                <w:sz w:val="20"/>
                <w:szCs w:val="20"/>
              </w:rPr>
              <w:t xml:space="preserve">✎  Note opérationnelle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 NOTE EARLY BRIEF — ID ÉLECTRONIQUE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France Identité (application état civil) constitue un moyen</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d'identification électronique de niveau élevé au sens eIDAS.</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Son acceptation en onboarding est reconnue par l'ACPR.</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À intégrer dans les processus d'onboarding digital en priorité.</w:t>
            </w:r>
          </w:p>
        </w:tc>
      </w:tr>
      <w:tr>
        <w:tc>
          <w:tcPr>
            <w:tcW w:type="dxa" w:w="9200"/>
            <w:tcBorders>
              <w:top w:val="single" w:color="C0C0C0" w:sz="4"/>
              <w:left w:val="single" w:color="C0C0C0" w:sz="4"/>
              <w:bottom w:val="single" w:color="C0C0C0" w:sz="4"/>
              <w:right w:val="single" w:color="C0C0C0" w:sz="4"/>
            </w:tcBorders>
            <w:shd w:fill="F5F5F5" w:val="clear"/>
            <w:tcMar>
              <w:top w:type="dxa" w:w="2"/>
              <w:bottom w:type="dxa" w:w="2"/>
            </w:tcMar>
          </w:tcPr>
          <w:p/>
        </w:tc>
      </w:tr>
    </w:tbl>
    <w:p>
      <w:pPr>
        <w:spacing w:before="80" w:after="0"/>
      </w:pPr>
    </w:p>
    <w:p>
      <w:pPr>
        <w:spacing w:before="60" w:after="0"/>
      </w:pPr>
    </w:p>
    <w:p>
      <w:pPr>
        <w:spacing w:before="60" w:after="80"/>
      </w:pPr>
      <w:r>
        <w:rPr>
          <w:rFonts w:ascii="Calibri" w:cs="Calibri" w:eastAsia="Calibri" w:hAnsi="Calibri"/>
          <w:color w:val="1F1F1F"/>
          <w:sz w:val="22"/>
          <w:szCs w:val="22"/>
        </w:rPr>
        <w:t xml:space="preserve">▼</w:t>
      </w:r>
    </w:p>
    <w:p>
      <w:pPr>
        <w:spacing w:before="60" w:after="0"/>
      </w:pPr>
    </w:p>
    <w:p>
      <w:pPr>
        <w:spacing w:before="60" w:after="80"/>
      </w:pPr>
      <w:r>
        <w:rPr>
          <w:rFonts w:ascii="Calibri" w:cs="Calibri" w:eastAsia="Calibri" w:hAnsi="Calibri"/>
          <w:color w:val="1F1F1F"/>
          <w:sz w:val="22"/>
          <w:szCs w:val="22"/>
        </w:rPr>
        <w:t xml:space="preserve">◆ GATE : Identité vérifiée avec un niveau de garantie suffisant ? OUI → Étape 3 | NON → Mesures compensatoires supplémentaires ou refus</w:t>
      </w:r>
    </w:p>
    <w:p>
      <w:pPr>
        <w:spacing w:before="60" w:after="0"/>
      </w:pPr>
    </w:p>
    <w:p>
      <w:pPr>
        <w:spacing w:before="60" w:after="80"/>
      </w:pPr>
      <w:r>
        <w:rPr>
          <w:rFonts w:ascii="Calibri" w:cs="Calibri" w:eastAsia="Calibri" w:hAnsi="Calibri"/>
          <w:color w:val="1F1F1F"/>
          <w:sz w:val="22"/>
          <w:szCs w:val="22"/>
        </w:rPr>
        <w:t xml:space="preserve">▼</w:t>
      </w:r>
    </w:p>
    <w:p>
      <w:pPr>
        <w:spacing w:before="60" w:after="0"/>
      </w:pPr>
    </w:p>
    <w:p>
      <w:pPr>
        <w:pStyle w:val="Heading3"/>
        <w:spacing w:before="180" w:after="80"/>
      </w:pPr>
      <w:r>
        <w:rPr>
          <w:rFonts w:ascii="Calibri" w:cs="Calibri" w:eastAsia="Calibri" w:hAnsi="Calibri"/>
          <w:b/>
          <w:bCs/>
          <w:color w:val="1F1F1F"/>
          <w:sz w:val="22"/>
          <w:szCs w:val="22"/>
        </w:rPr>
        <w:t xml:space="preserve">4.3. Étape 3 — Qualification du profil client</w:t>
      </w:r>
    </w:p>
    <w:p>
      <w:pPr>
        <w:spacing w:before="60" w:after="0"/>
      </w:pPr>
    </w:p>
    <w:p>
      <w:pPr>
        <w:spacing w:before="60" w:after="80"/>
      </w:pPr>
      <w:r>
        <w:rPr>
          <w:rFonts w:ascii="Calibri" w:cs="Calibri" w:eastAsia="Calibri" w:hAnsi="Calibri"/>
          <w:color w:val="1F1F1F"/>
          <w:sz w:val="22"/>
          <w:szCs w:val="22"/>
        </w:rPr>
        <w:t xml:space="preserve">Informations économiques à collecter</w:t>
      </w: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c>
          <w:tcPr>
            <w:tcW w:type="dxa" w:w="34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Information</w:t>
            </w:r>
          </w:p>
        </w:tc>
        <w:tc>
          <w:tcPr>
            <w:tcW w:type="dxa" w:w="58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Caractère</w:t>
            </w:r>
          </w:p>
        </w:tc>
      </w:tr>
      <w:tr>
        <w:tc>
          <w:tcPr>
            <w:tcW w:type="dxa" w:w="3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Situation professionnelle (activité,</w:t>
            </w:r>
          </w:p>
        </w:tc>
        <w:tc>
          <w:tcPr>
            <w:tcW w:type="dxa" w:w="5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Obligatoire</w:t>
            </w:r>
          </w:p>
        </w:tc>
      </w:tr>
      <w:tr>
        <w:tc>
          <w:tcPr>
            <w:tcW w:type="dxa" w:w="3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employeur, statut)</w:t>
            </w:r>
          </w:p>
        </w:tc>
        <w:tc>
          <w:tcPr>
            <w:tcW w:type="dxa" w:w="5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w:r>
          </w:p>
        </w:tc>
      </w:tr>
      <w:tr>
        <w:tc>
          <w:tcPr>
            <w:tcW w:type="dxa" w:w="3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Revenus et patrimoine (ordre de</w:t>
            </w:r>
          </w:p>
        </w:tc>
        <w:tc>
          <w:tcPr>
            <w:tcW w:type="dxa" w:w="5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Obligatoire</w:t>
            </w:r>
          </w:p>
        </w:tc>
      </w:tr>
      <w:tr>
        <w:tc>
          <w:tcPr>
            <w:tcW w:type="dxa" w:w="3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grandeur)</w:t>
            </w:r>
          </w:p>
        </w:tc>
        <w:tc>
          <w:tcPr>
            <w:tcW w:type="dxa" w:w="5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w:r>
          </w:p>
        </w:tc>
      </w:tr>
      <w:tr>
        <w:tc>
          <w:tcPr>
            <w:tcW w:type="dxa" w:w="3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Objet de la relation d'affaires</w:t>
            </w:r>
          </w:p>
        </w:tc>
        <w:tc>
          <w:tcPr>
            <w:tcW w:type="dxa" w:w="5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Obligatoire</w:t>
            </w:r>
          </w:p>
        </w:tc>
      </w:tr>
      <w:tr>
        <w:tc>
          <w:tcPr>
            <w:tcW w:type="dxa" w:w="3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Nature et volume des opérations</w:t>
            </w:r>
          </w:p>
        </w:tc>
        <w:tc>
          <w:tcPr>
            <w:tcW w:type="dxa" w:w="5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Obligatoire</w:t>
            </w:r>
          </w:p>
        </w:tc>
      </w:tr>
      <w:tr>
        <w:tc>
          <w:tcPr>
            <w:tcW w:type="dxa" w:w="3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envisagées</w:t>
            </w:r>
          </w:p>
        </w:tc>
        <w:tc>
          <w:tcPr>
            <w:tcW w:type="dxa" w:w="5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w:r>
          </w:p>
        </w:tc>
      </w:tr>
      <w:tr>
        <w:tc>
          <w:tcPr>
            <w:tcW w:type="dxa" w:w="3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Origine des fonds (si significatifs)</w:t>
            </w:r>
          </w:p>
        </w:tc>
        <w:tc>
          <w:tcPr>
            <w:tcW w:type="dxa" w:w="5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Obligatoire si risque ou montant</w:t>
            </w:r>
          </w:p>
        </w:tc>
      </w:tr>
      <w:tr>
        <w:tc>
          <w:tcPr>
            <w:tcW w:type="dxa" w:w="3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Pays de résidence fiscale</w:t>
            </w:r>
          </w:p>
        </w:tc>
        <w:tc>
          <w:tcPr>
            <w:tcW w:type="dxa" w:w="5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Obligatoire</w:t>
            </w:r>
          </w:p>
        </w:tc>
      </w:tr>
      <w:tr>
        <w:tc>
          <w:tcPr>
            <w:tcW w:type="dxa" w:w="3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Nationalité(s)</w:t>
            </w:r>
          </w:p>
        </w:tc>
        <w:tc>
          <w:tcPr>
            <w:tcW w:type="dxa" w:w="5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Obligatoire</w:t>
            </w:r>
          </w:p>
        </w:tc>
      </w:tr>
    </w:tbl>
    <w:p>
      <w:pPr>
        <w:spacing w:before="100" w:after="0"/>
      </w:pPr>
    </w:p>
    <w:p>
      <w:pPr>
        <w:spacing w:before="60" w:after="80"/>
      </w:pPr>
      <w:r>
        <w:rPr>
          <w:rFonts w:ascii="Calibri" w:cs="Calibri" w:eastAsia="Calibri" w:hAnsi="Calibri"/>
          <w:color w:val="1F1F1F"/>
          <w:sz w:val="22"/>
          <w:szCs w:val="22"/>
        </w:rPr>
        <w:t xml:space="preserve">Déclencheurs d'EDD à détecter dès cette étape</w:t>
      </w:r>
    </w:p>
    <w:p>
      <w:pPr>
        <w:spacing w:before="60" w:after="0"/>
      </w:pPr>
    </w:p>
    <w:p>
      <w:pPr>
        <w:pStyle w:val="ListParagraph"/>
        <w:numPr>
          <w:ilvl w:val="0"/>
          <w:numId w:val="2"/>
        </w:numPr>
        <w:spacing w:before="40" w:after="40"/>
      </w:pPr>
      <w:r>
        <w:rPr>
          <w:rFonts w:ascii="Calibri" w:cs="Calibri" w:eastAsia="Calibri" w:hAnsi="Calibri"/>
          <w:color w:val="1F1F1F"/>
          <w:sz w:val="22"/>
          <w:szCs w:val="22"/>
        </w:rPr>
        <w:t xml:space="preserve">Client PPE ou apparenté (R.561-18 CMF) → activer EB-EDD-001</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Résidence ou nationalité d'un pays tiers à haut risque (liste UE/GAFI) → activer EB-EDD-001</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Activité à risque élevé (exécutants testamentaires, marchands d'art, mandataires de fortune) → classification risque élevé</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Déclaration d'un bénéficiaire économique distinct du client → activer EB-UBO-001 adapté PP</w:t>
      </w:r>
    </w:p>
    <w:p>
      <w:pPr>
        <w:spacing w:before="60" w:after="0"/>
      </w:pPr>
    </w:p>
    <w:p>
      <w:pPr>
        <w:spacing w:before="60" w:after="80"/>
      </w:pPr>
      <w:r>
        <w:rPr>
          <w:rFonts w:ascii="Calibri" w:cs="Calibri" w:eastAsia="Calibri" w:hAnsi="Calibri"/>
          <w:color w:val="1F1F1F"/>
          <w:sz w:val="22"/>
          <w:szCs w:val="22"/>
        </w:rPr>
        <w:t xml:space="preserve">▼</w:t>
      </w:r>
    </w:p>
    <w:p>
      <w:pPr>
        <w:spacing w:before="60" w:after="0"/>
      </w:pPr>
    </w:p>
    <w:p>
      <w:pPr>
        <w:spacing w:before="60" w:after="80"/>
      </w:pPr>
      <w:r>
        <w:rPr>
          <w:rFonts w:ascii="Calibri" w:cs="Calibri" w:eastAsia="Calibri" w:hAnsi="Calibri"/>
          <w:color w:val="1F1F1F"/>
          <w:sz w:val="22"/>
          <w:szCs w:val="22"/>
        </w:rPr>
        <w:t xml:space="preserve">◆ GATE : Profil économique cohérent et complet ? OUI → Étape 4 | NON → Demande de complément</w:t>
      </w:r>
    </w:p>
    <w:p>
      <w:pPr>
        <w:spacing w:before="60" w:after="0"/>
      </w:pPr>
    </w:p>
    <w:p>
      <w:pPr>
        <w:spacing w:before="60" w:after="80"/>
      </w:pPr>
      <w:r>
        <w:rPr>
          <w:rFonts w:ascii="Calibri" w:cs="Calibri" w:eastAsia="Calibri" w:hAnsi="Calibri"/>
          <w:color w:val="1F1F1F"/>
          <w:sz w:val="22"/>
          <w:szCs w:val="22"/>
        </w:rPr>
        <w:t xml:space="preserve">▼</w:t>
      </w:r>
    </w:p>
    <w:p>
      <w:pPr>
        <w:spacing w:before="60" w:after="0"/>
      </w:pPr>
    </w:p>
    <w:p>
      <w:pPr>
        <w:pStyle w:val="Heading3"/>
        <w:spacing w:before="180" w:after="80"/>
      </w:pPr>
      <w:r>
        <w:rPr>
          <w:rFonts w:ascii="Calibri" w:cs="Calibri" w:eastAsia="Calibri" w:hAnsi="Calibri"/>
          <w:b/>
          <w:bCs/>
          <w:color w:val="1F1F1F"/>
          <w:sz w:val="22"/>
          <w:szCs w:val="22"/>
        </w:rPr>
        <w:t xml:space="preserve">4.4. Étape 4 — Criblage initial</w:t>
      </w:r>
    </w:p>
    <w:p>
      <w:pPr>
        <w:spacing w:before="60" w:after="0"/>
      </w:pPr>
    </w:p>
    <w:p>
      <w:pPr>
        <w:spacing w:before="60" w:after="80"/>
      </w:pPr>
      <w:r>
        <w:rPr>
          <w:rFonts w:ascii="Calibri" w:cs="Calibri" w:eastAsia="Calibri" w:hAnsi="Calibri"/>
          <w:color w:val="1F1F1F"/>
          <w:sz w:val="22"/>
          <w:szCs w:val="22"/>
        </w:rPr>
        <w:t xml:space="preserve">Avant toute décision d'acceptation, cribler le client sur :</w:t>
      </w:r>
    </w:p>
    <w:p>
      <w:pPr>
        <w:spacing w:before="60" w:after="0"/>
      </w:pPr>
    </w:p>
    <w:p>
      <w:pPr>
        <w:pStyle w:val="ListParagraph"/>
        <w:numPr>
          <w:ilvl w:val="0"/>
          <w:numId w:val="2"/>
        </w:numPr>
        <w:spacing w:before="40" w:after="40"/>
      </w:pPr>
      <w:r>
        <w:rPr>
          <w:rFonts w:ascii="Calibri" w:cs="Calibri" w:eastAsia="Calibri" w:hAnsi="Calibri"/>
          <w:color w:val="1F1F1F"/>
          <w:sz w:val="22"/>
          <w:szCs w:val="22"/>
        </w:rPr>
        <w:t xml:space="preserve">Listes de sanctions (OFAC, UE, OFSI UK, ONU) → EB-SCR-001</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Listes PPE (si non déjà identifié) → EB-SCR-001</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Adverse media (informations négatives presse/judiciaire) → EB-SCR-002</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Bases internes (liste noire interne, historique de relation antérieure)</w:t>
      </w: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C0C0" w:sz="4"/>
              <w:left w:val="single" w:color="C0C0C0" w:sz="4"/>
              <w:bottom w:val="single" w:color="C0C0C0" w:sz="4"/>
              <w:right w:val="single" w:color="C0C0C0" w:sz="4"/>
            </w:tcBorders>
            <w:shd w:fill="F5F5F5" w:val="clear"/>
            <w:tcMar>
              <w:top w:type="dxa" w:w="80"/>
              <w:left w:type="dxa" w:w="160"/>
              <w:bottom w:type="dxa" w:w="40"/>
              <w:right w:type="dxa" w:w="160"/>
            </w:tcMar>
          </w:tcPr>
          <w:p>
            <w:r>
              <w:rPr>
                <w:rFonts w:ascii="Calibri" w:cs="Calibri" w:eastAsia="Calibri" w:hAnsi="Calibri"/>
                <w:b/>
                <w:bCs/>
                <w:color w:val="1F1F1F"/>
                <w:sz w:val="20"/>
                <w:szCs w:val="20"/>
              </w:rPr>
              <w:t xml:space="preserve">⚠  Point de vigilance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 OBLIGATION LÉGALE — GEL DES AVOIRS</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Si le criblage révèle une désignation sanctions confirmée :</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procédure de gel des avoirs immédiate → EB-GEL-001.</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Aucune ouverture de compte ne peut intervenir. Évaluer l'obligation</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de déclaration Tracfin → EB-TRC-001.</w:t>
            </w:r>
          </w:p>
        </w:tc>
      </w:tr>
      <w:tr>
        <w:tc>
          <w:tcPr>
            <w:tcW w:type="dxa" w:w="9200"/>
            <w:tcBorders>
              <w:top w:val="single" w:color="C0C0C0" w:sz="4"/>
              <w:left w:val="single" w:color="C0C0C0" w:sz="4"/>
              <w:bottom w:val="single" w:color="C0C0C0" w:sz="4"/>
              <w:right w:val="single" w:color="C0C0C0" w:sz="4"/>
            </w:tcBorders>
            <w:shd w:fill="F5F5F5" w:val="clear"/>
            <w:tcMar>
              <w:top w:type="dxa" w:w="2"/>
              <w:bottom w:type="dxa" w:w="2"/>
            </w:tcMar>
          </w:tcPr>
          <w:p/>
        </w:tc>
      </w:tr>
    </w:tbl>
    <w:p>
      <w:pPr>
        <w:spacing w:before="80" w:after="0"/>
      </w:pP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c>
          <w:tcPr>
            <w:tcW w:type="dxa" w:w="34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Résultat criblage</w:t>
            </w:r>
          </w:p>
        </w:tc>
        <w:tc>
          <w:tcPr>
            <w:tcW w:type="dxa" w:w="58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Action</w:t>
            </w:r>
          </w:p>
        </w:tc>
      </w:tr>
      <w:tr>
        <w:tc>
          <w:tcPr>
            <w:tcW w:type="dxa" w:w="3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Aucun match</w:t>
            </w:r>
          </w:p>
        </w:tc>
        <w:tc>
          <w:tcPr>
            <w:tcW w:type="dxa" w:w="5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Étape 5 — Décision d'acceptation</w:t>
            </w:r>
          </w:p>
        </w:tc>
      </w:tr>
      <w:tr>
        <w:tc>
          <w:tcPr>
            <w:tcW w:type="dxa" w:w="3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Faux positif documenté</w:t>
            </w:r>
          </w:p>
        </w:tc>
        <w:tc>
          <w:tcPr>
            <w:tcW w:type="dxa" w:w="5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Étape 5 — Décision d'acceptation</w:t>
            </w:r>
          </w:p>
        </w:tc>
      </w:tr>
      <w:tr>
        <w:tc>
          <w:tcPr>
            <w:tcW w:type="dxa" w:w="3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PPE confirmée</w:t>
            </w:r>
          </w:p>
        </w:tc>
        <w:tc>
          <w:tcPr>
            <w:tcW w:type="dxa" w:w="5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Activer EB-EDD-001 avant décision</w:t>
            </w:r>
          </w:p>
        </w:tc>
      </w:tr>
      <w:tr>
        <w:tc>
          <w:tcPr>
            <w:tcW w:type="dxa" w:w="3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Match sanctions confirmé</w:t>
            </w:r>
          </w:p>
        </w:tc>
        <w:tc>
          <w:tcPr>
            <w:tcW w:type="dxa" w:w="5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Refus + EB-GEL-001 + évaluation EB-TRC-001</w:t>
            </w:r>
          </w:p>
        </w:tc>
      </w:tr>
      <w:tr>
        <w:tc>
          <w:tcPr>
            <w:tcW w:type="dxa" w:w="3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Adverse media significatif</w:t>
            </w:r>
          </w:p>
        </w:tc>
        <w:tc>
          <w:tcPr>
            <w:tcW w:type="dxa" w:w="5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Escalade compliance + évaluation EDD/refus</w:t>
            </w:r>
          </w:p>
        </w:tc>
      </w:tr>
    </w:tbl>
    <w:p>
      <w:pPr>
        <w:spacing w:before="100" w:after="0"/>
      </w:pPr>
    </w:p>
    <w:p>
      <w:pPr>
        <w:spacing w:before="60" w:after="80"/>
      </w:pPr>
      <w:r>
        <w:rPr>
          <w:rFonts w:ascii="Calibri" w:cs="Calibri" w:eastAsia="Calibri" w:hAnsi="Calibri"/>
          <w:color w:val="1F1F1F"/>
          <w:sz w:val="22"/>
          <w:szCs w:val="22"/>
        </w:rPr>
        <w:t xml:space="preserve">▼</w:t>
      </w:r>
    </w:p>
    <w:p>
      <w:pPr>
        <w:spacing w:before="60" w:after="0"/>
      </w:pPr>
    </w:p>
    <w:p>
      <w:pPr>
        <w:spacing w:before="60" w:after="80"/>
      </w:pPr>
      <w:r>
        <w:rPr>
          <w:rFonts w:ascii="Calibri" w:cs="Calibri" w:eastAsia="Calibri" w:hAnsi="Calibri"/>
          <w:color w:val="1F1F1F"/>
          <w:sz w:val="22"/>
          <w:szCs w:val="22"/>
        </w:rPr>
        <w:t xml:space="preserve">◆ GATE : Criblage sans match bloquant ? OUI → Étape 5 | NON → Traitement selon tableau ci-dessus</w:t>
      </w:r>
    </w:p>
    <w:p>
      <w:pPr>
        <w:spacing w:before="60" w:after="0"/>
      </w:pPr>
    </w:p>
    <w:p>
      <w:pPr>
        <w:spacing w:before="60" w:after="80"/>
      </w:pPr>
      <w:r>
        <w:rPr>
          <w:rFonts w:ascii="Calibri" w:cs="Calibri" w:eastAsia="Calibri" w:hAnsi="Calibri"/>
          <w:color w:val="1F1F1F"/>
          <w:sz w:val="22"/>
          <w:szCs w:val="22"/>
        </w:rPr>
        <w:t xml:space="preserve">▼</w:t>
      </w:r>
    </w:p>
    <w:p>
      <w:pPr>
        <w:spacing w:before="60" w:after="0"/>
      </w:pPr>
    </w:p>
    <w:p>
      <w:pPr>
        <w:pStyle w:val="Heading3"/>
        <w:spacing w:before="180" w:after="80"/>
      </w:pPr>
      <w:r>
        <w:rPr>
          <w:rFonts w:ascii="Calibri" w:cs="Calibri" w:eastAsia="Calibri" w:hAnsi="Calibri"/>
          <w:b/>
          <w:bCs/>
          <w:color w:val="1F1F1F"/>
          <w:sz w:val="22"/>
          <w:szCs w:val="22"/>
        </w:rPr>
        <w:t xml:space="preserve">4.5. Étape 5 — Décision d'acceptation et documentation</w:t>
      </w:r>
    </w:p>
    <w:p>
      <w:pPr>
        <w:spacing w:before="60" w:after="0"/>
      </w:pPr>
    </w:p>
    <w:p>
      <w:pPr>
        <w:spacing w:before="60" w:after="80"/>
      </w:pPr>
      <w:r>
        <w:rPr>
          <w:rFonts w:ascii="Calibri" w:cs="Calibri" w:eastAsia="Calibri" w:hAnsi="Calibri"/>
          <w:color w:val="1F1F1F"/>
          <w:sz w:val="22"/>
          <w:szCs w:val="22"/>
        </w:rPr>
        <w:t xml:space="preserve">Matrice de décision</w:t>
      </w: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400"/>
      </w:tblGrid>
      <w:tr>
        <w:tc>
          <w:tcPr>
            <w:tcW w:type="dxa" w:w="22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Situation</w:t>
            </w:r>
          </w:p>
        </w:tc>
        <w:tc>
          <w:tcPr>
            <w:tcW w:type="dxa" w:w="46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Décision</w:t>
            </w:r>
          </w:p>
        </w:tc>
        <w:tc>
          <w:tcPr>
            <w:tcW w:type="dxa" w:w="24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Niveau d'approbation</w:t>
            </w:r>
          </w:p>
        </w:tc>
      </w:tr>
      <w:tr>
        <w:tc>
          <w:tcPr>
            <w:tcW w:type="dxa" w:w="2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Profil standard, criblage négatif</w:t>
            </w:r>
          </w:p>
        </w:tc>
        <w:tc>
          <w:tcPr>
            <w:tcW w:type="dxa" w:w="46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Acceptation</w:t>
            </w:r>
          </w:p>
        </w:tc>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Chargé de clientèle</w:t>
            </w:r>
          </w:p>
        </w:tc>
      </w:tr>
      <w:tr>
        <w:tc>
          <w:tcPr>
            <w:tcW w:type="dxa" w:w="2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Profil à risque élevé, EDD complétée</w:t>
            </w:r>
          </w:p>
        </w:tc>
        <w:tc>
          <w:tcPr>
            <w:tcW w:type="dxa" w:w="46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Acceptation</w:t>
            </w:r>
          </w:p>
        </w:tc>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Responsable conformité</w:t>
            </w:r>
          </w:p>
        </w:tc>
      </w:tr>
      <w:tr>
        <w:tc>
          <w:tcPr>
            <w:tcW w:type="dxa" w:w="2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avec mesures satisfaisantes</w:t>
            </w:r>
          </w:p>
        </w:tc>
        <w:tc>
          <w:tcPr>
            <w:tcW w:type="dxa" w:w="46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w:r>
          </w:p>
        </w:tc>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w:r>
          </w:p>
        </w:tc>
      </w:tr>
      <w:tr>
        <w:tc>
          <w:tcPr>
            <w:tcW w:type="dxa" w:w="2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PPE avec EDD complétée</w:t>
            </w:r>
          </w:p>
        </w:tc>
        <w:tc>
          <w:tcPr>
            <w:tcW w:type="dxa" w:w="46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Acceptation</w:t>
            </w:r>
          </w:p>
        </w:tc>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Direction générale</w:t>
            </w:r>
          </w:p>
        </w:tc>
      </w:tr>
      <w:tr>
        <w:tc>
          <w:tcPr>
            <w:tcW w:type="dxa" w:w="2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Match sanctions ou fraude avérée</w:t>
            </w:r>
          </w:p>
        </w:tc>
        <w:tc>
          <w:tcPr>
            <w:tcW w:type="dxa" w:w="46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Refus</w:t>
            </w:r>
          </w:p>
        </w:tc>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Responsable conformité</w:t>
            </w:r>
          </w:p>
        </w:tc>
      </w:tr>
      <w:tr>
        <w:tc>
          <w:tcPr>
            <w:tcW w:type="dxa" w:w="2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Impossibilité d'identification</w:t>
            </w:r>
          </w:p>
        </w:tc>
        <w:tc>
          <w:tcPr>
            <w:tcW w:type="dxa" w:w="46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Refus</w:t>
            </w:r>
          </w:p>
        </w:tc>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Responsable conformité</w:t>
            </w:r>
          </w:p>
        </w:tc>
      </w:tr>
    </w:tbl>
    <w:p>
      <w:pPr>
        <w:spacing w:before="100" w:after="0"/>
      </w:pPr>
    </w:p>
    <w:p>
      <w:pPr>
        <w:spacing w:before="60" w:after="80"/>
      </w:pPr>
      <w:r>
        <w:rPr>
          <w:rFonts w:ascii="Calibri" w:cs="Calibri" w:eastAsia="Calibri" w:hAnsi="Calibri"/>
          <w:color w:val="1F1F1F"/>
          <w:sz w:val="22"/>
          <w:szCs w:val="22"/>
        </w:rPr>
        <w:t xml:space="preserve">Contenu obligatoire du dossier d'entrée en relation</w:t>
      </w:r>
    </w:p>
    <w:p>
      <w:pPr>
        <w:spacing w:before="60" w:after="0"/>
      </w:pPr>
    </w:p>
    <w:p>
      <w:pPr>
        <w:pStyle w:val="ListParagraph"/>
        <w:numPr>
          <w:ilvl w:val="0"/>
          <w:numId w:val="2"/>
        </w:numPr>
        <w:spacing w:before="40" w:after="40"/>
      </w:pPr>
      <w:r>
        <w:rPr>
          <w:rFonts w:ascii="Calibri" w:cs="Calibri" w:eastAsia="Calibri" w:hAnsi="Calibri"/>
          <w:color w:val="1F1F1F"/>
          <w:sz w:val="22"/>
          <w:szCs w:val="22"/>
        </w:rPr>
        <w:t xml:space="preserve">Copie recto/verso de la pièce d'identité</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Justificatif de domicile</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Formulaire de collecte des informations économiques complété et signé</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Rapport de criblage horodaté (résultat + décision faux positif si applicable)</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Évaluation du niveau de risque initial (standard / élevé / très élevé)</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Décision d'acceptation avec niveau d'approbation et date</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Si EDD : dossier EDD complet selon EB-EDD-001</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Si PPE : autorisation hiérarchique signée</w:t>
      </w: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C0C0" w:sz="4"/>
              <w:left w:val="single" w:color="C0C0C0" w:sz="4"/>
              <w:bottom w:val="single" w:color="C0C0C0" w:sz="4"/>
              <w:right w:val="single" w:color="C0C0C0" w:sz="4"/>
            </w:tcBorders>
            <w:shd w:fill="F5F5F5" w:val="clear"/>
            <w:tcMar>
              <w:top w:type="dxa" w:w="80"/>
              <w:left w:type="dxa" w:w="160"/>
              <w:bottom w:type="dxa" w:w="40"/>
              <w:right w:type="dxa" w:w="160"/>
            </w:tcMar>
          </w:tcPr>
          <w:p>
            <w:r>
              <w:rPr>
                <w:rFonts w:ascii="Calibri" w:cs="Calibri" w:eastAsia="Calibri" w:hAnsi="Calibri"/>
                <w:b/>
                <w:bCs/>
                <w:color w:val="1F1F1F"/>
                <w:sz w:val="20"/>
                <w:szCs w:val="20"/>
              </w:rPr>
              <w:t xml:space="preserve">✎  Note opérationnelle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 NOTE EARLY BRIEF — DOCUMENTATION</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Le dossier d'entrée en relation est une pièce d'audit centrale.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En contrôle ACPR, l'absence de justification d'une décision</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d'acceptation (notamment pour un profil à risque) constitue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un grief fréquent. La décision doit être tracée, datée, et</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signée par le niveau d'approbation requis.</w:t>
            </w:r>
          </w:p>
        </w:tc>
      </w:tr>
      <w:tr>
        <w:tc>
          <w:tcPr>
            <w:tcW w:type="dxa" w:w="9200"/>
            <w:tcBorders>
              <w:top w:val="single" w:color="C0C0C0" w:sz="4"/>
              <w:left w:val="single" w:color="C0C0C0" w:sz="4"/>
              <w:bottom w:val="single" w:color="C0C0C0" w:sz="4"/>
              <w:right w:val="single" w:color="C0C0C0" w:sz="4"/>
            </w:tcBorders>
            <w:shd w:fill="F5F5F5" w:val="clear"/>
            <w:tcMar>
              <w:top w:type="dxa" w:w="2"/>
              <w:bottom w:type="dxa" w:w="2"/>
            </w:tcMar>
          </w:tcPr>
          <w:p/>
        </w:tc>
      </w:tr>
    </w:tbl>
    <w:p>
      <w:pPr>
        <w:spacing w:before="80" w:after="0"/>
      </w:pPr>
    </w:p>
    <w:p>
      <w:pPr>
        <w:spacing w:before="60" w:after="0"/>
      </w:pPr>
    </w:p>
    <w:p>
      <w:pPr>
        <w:spacing w:before="60" w:after="0"/>
      </w:pPr>
    </w:p>
    <w:p>
      <w:pPr>
        <w:pStyle w:val="Heading2"/>
        <w:spacing w:before="240" w:after="100"/>
      </w:pPr>
      <w:r>
        <w:rPr>
          <w:rFonts w:ascii="Calibri" w:cs="Calibri" w:eastAsia="Calibri" w:hAnsi="Calibri"/>
          <w:b/>
          <w:bCs/>
          <w:color w:val="000000"/>
          <w:sz w:val="24"/>
          <w:szCs w:val="24"/>
        </w:rPr>
        <w:t xml:space="preserve">5 — Cas particuliers</w:t>
      </w:r>
    </w:p>
    <w:p>
      <w:pPr>
        <w:spacing w:before="60" w:after="0"/>
      </w:pPr>
    </w:p>
    <w:p>
      <w:pPr>
        <w:pStyle w:val="Heading3"/>
        <w:spacing w:before="180" w:after="80"/>
      </w:pPr>
      <w:r>
        <w:rPr>
          <w:rFonts w:ascii="Calibri" w:cs="Calibri" w:eastAsia="Calibri" w:hAnsi="Calibri"/>
          <w:b/>
          <w:bCs/>
          <w:color w:val="1F1F1F"/>
          <w:sz w:val="22"/>
          <w:szCs w:val="22"/>
        </w:rPr>
        <w:t xml:space="preserve">5.1. Mandataire</w:t>
      </w:r>
    </w:p>
    <w:p>
      <w:pPr>
        <w:spacing w:before="60" w:after="0"/>
      </w:pPr>
    </w:p>
    <w:p>
      <w:pPr>
        <w:spacing w:before="60" w:after="80"/>
      </w:pPr>
      <w:r>
        <w:rPr>
          <w:rFonts w:ascii="Calibri" w:cs="Calibri" w:eastAsia="Calibri" w:hAnsi="Calibri"/>
          <w:color w:val="1F1F1F"/>
          <w:sz w:val="22"/>
          <w:szCs w:val="22"/>
        </w:rPr>
        <w:t xml:space="preserve">Identifier et vérifier l'identité du mandataire selon les mêmes modalités que le client. Collecter la procuration originale ou une copie certifiée conforme. Cribler le mandataire sur les listes sanctions/PPE.</w:t>
      </w:r>
    </w:p>
    <w:p>
      <w:pPr>
        <w:spacing w:before="60" w:after="0"/>
      </w:pPr>
    </w:p>
    <w:p>
      <w:pPr>
        <w:pStyle w:val="Heading3"/>
        <w:spacing w:before="180" w:after="80"/>
      </w:pPr>
      <w:r>
        <w:rPr>
          <w:rFonts w:ascii="Calibri" w:cs="Calibri" w:eastAsia="Calibri" w:hAnsi="Calibri"/>
          <w:b/>
          <w:bCs/>
          <w:color w:val="1F1F1F"/>
          <w:sz w:val="22"/>
          <w:szCs w:val="22"/>
        </w:rPr>
        <w:t xml:space="preserve">5.2. Compte joint</w:t>
      </w:r>
    </w:p>
    <w:p>
      <w:pPr>
        <w:spacing w:before="60" w:after="0"/>
      </w:pPr>
    </w:p>
    <w:p>
      <w:pPr>
        <w:spacing w:before="60" w:after="80"/>
      </w:pPr>
      <w:r>
        <w:rPr>
          <w:rFonts w:ascii="Calibri" w:cs="Calibri" w:eastAsia="Calibri" w:hAnsi="Calibri"/>
          <w:color w:val="1F1F1F"/>
          <w:sz w:val="22"/>
          <w:szCs w:val="22"/>
        </w:rPr>
        <w:t xml:space="preserve">Identifier et vérifier l'identité de chaque co-titulaire. Cribler chaque co-titulaire indépendamment. Si l'un des co-titulaires est PPE ou match sanctions → appliquer les mesures correspondantes à l'ensemble du compte.</w:t>
      </w:r>
    </w:p>
    <w:p>
      <w:pPr>
        <w:spacing w:before="60" w:after="0"/>
      </w:pPr>
    </w:p>
    <w:p>
      <w:pPr>
        <w:pStyle w:val="Heading3"/>
        <w:spacing w:before="180" w:after="80"/>
      </w:pPr>
      <w:r>
        <w:rPr>
          <w:rFonts w:ascii="Calibri" w:cs="Calibri" w:eastAsia="Calibri" w:hAnsi="Calibri"/>
          <w:b/>
          <w:bCs/>
          <w:color w:val="1F1F1F"/>
          <w:sz w:val="22"/>
          <w:szCs w:val="22"/>
        </w:rPr>
        <w:t xml:space="preserve">5.3. Tuteur / Curateur</w:t>
      </w:r>
    </w:p>
    <w:p>
      <w:pPr>
        <w:spacing w:before="60" w:after="0"/>
      </w:pPr>
    </w:p>
    <w:p>
      <w:pPr>
        <w:spacing w:before="60" w:after="80"/>
      </w:pPr>
      <w:r>
        <w:rPr>
          <w:rFonts w:ascii="Calibri" w:cs="Calibri" w:eastAsia="Calibri" w:hAnsi="Calibri"/>
          <w:color w:val="1F1F1F"/>
          <w:sz w:val="22"/>
          <w:szCs w:val="22"/>
        </w:rPr>
        <w:t xml:space="preserve">Identifier le bénéficiaire (majeur protégé ou mineur) ET le représentant légal. Collecter le document de protection juridique (jugement de tutelle/curatelle, livret de famille). Le compte est ouvert au nom du bénéficiaire, opéré par le représentant.</w:t>
      </w:r>
    </w:p>
    <w:p>
      <w:pPr>
        <w:spacing w:before="60" w:after="0"/>
      </w:pPr>
    </w:p>
    <w:p>
      <w:pPr>
        <w:pStyle w:val="Heading3"/>
        <w:spacing w:before="180" w:after="80"/>
      </w:pPr>
      <w:r>
        <w:rPr>
          <w:rFonts w:ascii="Calibri" w:cs="Calibri" w:eastAsia="Calibri" w:hAnsi="Calibri"/>
          <w:b/>
          <w:bCs/>
          <w:color w:val="1F1F1F"/>
          <w:sz w:val="22"/>
          <w:szCs w:val="22"/>
        </w:rPr>
        <w:t xml:space="preserve">5.4. Mineur</w:t>
      </w:r>
    </w:p>
    <w:p>
      <w:pPr>
        <w:spacing w:before="60" w:after="0"/>
      </w:pPr>
    </w:p>
    <w:p>
      <w:pPr>
        <w:spacing w:before="60" w:after="80"/>
      </w:pPr>
      <w:r>
        <w:rPr>
          <w:rFonts w:ascii="Calibri" w:cs="Calibri" w:eastAsia="Calibri" w:hAnsi="Calibri"/>
          <w:color w:val="1F1F1F"/>
          <w:sz w:val="22"/>
          <w:szCs w:val="22"/>
        </w:rPr>
        <w:t xml:space="preserve">Identifier le mineur ET au moins un représentant légal (parent, tuteur). Le compte est ouvert au nom du mineur. Les opérations sont effectuées par/avec le représentant légal jusqu'à la majorité.</w:t>
      </w:r>
    </w:p>
    <w:p>
      <w:pPr>
        <w:spacing w:before="60" w:after="0"/>
      </w:pPr>
    </w:p>
    <w:p>
      <w:pPr>
        <w:pStyle w:val="Heading3"/>
        <w:spacing w:before="180" w:after="80"/>
      </w:pPr>
      <w:r>
        <w:rPr>
          <w:rFonts w:ascii="Calibri" w:cs="Calibri" w:eastAsia="Calibri" w:hAnsi="Calibri"/>
          <w:b/>
          <w:bCs/>
          <w:color w:val="1F1F1F"/>
          <w:sz w:val="22"/>
          <w:szCs w:val="22"/>
        </w:rPr>
        <w:t xml:space="preserve">5.5. Non-résidents / Ressortissants étrangers</w:t>
      </w:r>
    </w:p>
    <w:p>
      <w:pPr>
        <w:spacing w:before="60" w:after="0"/>
      </w:pPr>
    </w:p>
    <w:p>
      <w:pPr>
        <w:spacing w:before="60" w:after="80"/>
      </w:pPr>
      <w:r>
        <w:rPr>
          <w:rFonts w:ascii="Calibri" w:cs="Calibri" w:eastAsia="Calibri" w:hAnsi="Calibri"/>
          <w:color w:val="1F1F1F"/>
          <w:sz w:val="22"/>
          <w:szCs w:val="22"/>
        </w:rPr>
        <w:t xml:space="preserve">Appliquer les mêmes obligations de vérification d'identité. Accepter les documents d'identité étrangers (passeport, titre de séjour). Si le client réside dans un pays tiers à haut risque : déclencher EB-EDD-001 automatiquement.</w:t>
      </w:r>
    </w:p>
    <w:p>
      <w:pPr>
        <w:spacing w:before="60" w:after="0"/>
      </w:pPr>
    </w:p>
    <w:p>
      <w:pPr>
        <w:spacing w:before="60" w:after="0"/>
      </w:pPr>
    </w:p>
    <w:p>
      <w:pPr>
        <w:pStyle w:val="Heading2"/>
        <w:spacing w:before="240" w:after="100"/>
      </w:pPr>
      <w:r>
        <w:rPr>
          <w:rFonts w:ascii="Calibri" w:cs="Calibri" w:eastAsia="Calibri" w:hAnsi="Calibri"/>
          <w:b/>
          <w:bCs/>
          <w:color w:val="000000"/>
          <w:sz w:val="24"/>
          <w:szCs w:val="24"/>
        </w:rPr>
        <w:t xml:space="preserve">6 — Vigilance constante et mise à jour du dossier (L.561-6)</w:t>
      </w:r>
    </w:p>
    <w:p>
      <w:pPr>
        <w:spacing w:before="60" w:after="0"/>
      </w:pPr>
    </w:p>
    <w:p>
      <w:pPr>
        <w:spacing w:before="60" w:after="80"/>
      </w:pPr>
      <w:r>
        <w:rPr>
          <w:rFonts w:ascii="Calibri" w:cs="Calibri" w:eastAsia="Calibri" w:hAnsi="Calibri"/>
          <w:color w:val="1F1F1F"/>
          <w:sz w:val="22"/>
          <w:szCs w:val="22"/>
        </w:rPr>
        <w:t xml:space="preserve">L'obligation d'identification ne s'éteint pas à l'entrée en relation. Le dossier doit être mis à jour :</w:t>
      </w:r>
    </w:p>
    <w:p>
      <w:pPr>
        <w:spacing w:before="60" w:after="0"/>
      </w:pPr>
    </w:p>
    <w:p>
      <w:pPr>
        <w:pStyle w:val="ListParagraph"/>
        <w:numPr>
          <w:ilvl w:val="0"/>
          <w:numId w:val="2"/>
        </w:numPr>
        <w:spacing w:before="40" w:after="40"/>
      </w:pPr>
      <w:r>
        <w:rPr>
          <w:rFonts w:ascii="Calibri" w:cs="Calibri" w:eastAsia="Calibri" w:hAnsi="Calibri"/>
          <w:color w:val="1F1F1F"/>
          <w:sz w:val="22"/>
          <w:szCs w:val="22"/>
        </w:rPr>
        <w:t xml:space="preserve">À intervalle périodique selon le niveau de risque (standard : 2-3 ans / élevé : 1 an / très élevé : 6 mois)</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En cas d'événement déclencheur : modification d'adresse, opération inhabituelle, changement d'activité, suspicion</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Lors de tout recriblage périodique (EB-SCR-001)</w:t>
      </w:r>
    </w:p>
    <w:p>
      <w:pPr>
        <w:spacing w:before="60" w:after="0"/>
      </w:pPr>
    </w:p>
    <w:p>
      <w:pPr>
        <w:spacing w:before="60" w:after="0"/>
      </w:pPr>
    </w:p>
    <w:p>
      <w:pPr>
        <w:pStyle w:val="Heading2"/>
        <w:spacing w:before="240" w:after="100"/>
      </w:pPr>
      <w:r>
        <w:rPr>
          <w:rFonts w:ascii="Calibri" w:cs="Calibri" w:eastAsia="Calibri" w:hAnsi="Calibri"/>
          <w:b/>
          <w:bCs/>
          <w:color w:val="000000"/>
          <w:sz w:val="24"/>
          <w:szCs w:val="24"/>
        </w:rPr>
        <w:t xml:space="preserve">7 — Conservation des documents (L.561-12)</w:t>
      </w:r>
    </w:p>
    <w:p>
      <w:pPr>
        <w:spacing w:before="60" w:after="0"/>
      </w:pPr>
    </w:p>
    <w:p>
      <w:pPr>
        <w:spacing w:before="60" w:after="80"/>
      </w:pPr>
      <w:r>
        <w:rPr>
          <w:rFonts w:ascii="Calibri" w:cs="Calibri" w:eastAsia="Calibri" w:hAnsi="Calibri"/>
          <w:color w:val="1F1F1F"/>
          <w:sz w:val="22"/>
          <w:szCs w:val="22"/>
        </w:rPr>
        <w:t xml:space="preserve">Tous les documents collectés lors de l'entrée en relation doivent être conservés 5 ans après la fin de la relation d'affaires. Cette obligation s'impose indépendamment du RGPD — en cas de conflit, la durée de conservation LCB-FT prime.</w:t>
      </w:r>
    </w:p>
    <w:p>
      <w:pPr>
        <w:spacing w:before="60" w:after="0"/>
      </w:pPr>
    </w:p>
    <w:p>
      <w:pPr>
        <w:spacing w:before="60" w:after="0"/>
      </w:pPr>
    </w:p>
    <w:p>
      <w:pPr>
        <w:pStyle w:val="Heading2"/>
        <w:spacing w:before="240" w:after="100"/>
      </w:pPr>
      <w:r>
        <w:rPr>
          <w:rFonts w:ascii="Calibri" w:cs="Calibri" w:eastAsia="Calibri" w:hAnsi="Calibri"/>
          <w:b/>
          <w:bCs/>
          <w:color w:val="000000"/>
          <w:sz w:val="24"/>
          <w:szCs w:val="24"/>
        </w:rPr>
        <w:t xml:space="preserve">8 — Indicateurs de contrôle</w:t>
      </w: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400"/>
      </w:tblGrid>
      <w:tr>
        <w:tc>
          <w:tcPr>
            <w:tcW w:type="dxa" w:w="22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Indicateur</w:t>
            </w:r>
          </w:p>
        </w:tc>
        <w:tc>
          <w:tcPr>
            <w:tcW w:type="dxa" w:w="46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Cible</w:t>
            </w:r>
          </w:p>
        </w:tc>
        <w:tc>
          <w:tcPr>
            <w:tcW w:type="dxa" w:w="24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 Fréquence</w:t>
            </w:r>
          </w:p>
        </w:tc>
      </w:tr>
      <w:tr>
        <w:tc>
          <w:tcPr>
            <w:tcW w:type="dxa" w:w="2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Taux de dossiers KYC complets à l'ouvertu</w:t>
            </w:r>
          </w:p>
        </w:tc>
        <w:tc>
          <w:tcPr>
            <w:tcW w:type="dxa" w:w="46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 100%</w:t>
            </w:r>
          </w:p>
        </w:tc>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Mensuelle</w:t>
            </w:r>
          </w:p>
        </w:tc>
      </w:tr>
      <w:tr>
        <w:tc>
          <w:tcPr>
            <w:tcW w:type="dxa" w:w="2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Délai moyen de vérification d'identité</w:t>
            </w:r>
          </w:p>
        </w:tc>
        <w:tc>
          <w:tcPr>
            <w:tcW w:type="dxa" w:w="46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&lt; 48h</w:t>
            </w:r>
          </w:p>
        </w:tc>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Mensuelle</w:t>
            </w:r>
          </w:p>
        </w:tc>
      </w:tr>
      <w:tr>
        <w:tc>
          <w:tcPr>
            <w:tcW w:type="dxa" w:w="2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Taux de refus documentés</w:t>
            </w:r>
          </w:p>
        </w:tc>
        <w:tc>
          <w:tcPr>
            <w:tcW w:type="dxa" w:w="46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100%</w:t>
            </w:r>
          </w:p>
        </w:tc>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Mensuelle</w:t>
            </w:r>
          </w:p>
        </w:tc>
      </w:tr>
      <w:tr>
        <w:tc>
          <w:tcPr>
            <w:tcW w:type="dxa" w:w="2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Taux de criblage effectué avant ouverture</w:t>
            </w:r>
          </w:p>
        </w:tc>
        <w:tc>
          <w:tcPr>
            <w:tcW w:type="dxa" w:w="46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100%</w:t>
            </w:r>
          </w:p>
        </w:tc>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Mensuelle</w:t>
            </w:r>
          </w:p>
        </w:tc>
      </w:tr>
      <w:tr>
        <w:tc>
          <w:tcPr>
            <w:tcW w:type="dxa" w:w="2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Dossiers en retard de revue périodique</w:t>
            </w:r>
          </w:p>
        </w:tc>
        <w:tc>
          <w:tcPr>
            <w:tcW w:type="dxa" w:w="46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&lt; 5%</w:t>
            </w:r>
          </w:p>
        </w:tc>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Trimestrielle</w:t>
            </w:r>
          </w:p>
        </w:tc>
      </w:tr>
    </w:tbl>
    <w:p>
      <w:pPr>
        <w:spacing w:before="100" w:after="0"/>
      </w:pPr>
    </w:p>
    <w:p>
      <w:pPr>
        <w:spacing w:before="60" w:after="0"/>
      </w:pPr>
    </w:p>
    <w:p>
      <w:pPr>
        <w:pStyle w:val="Heading2"/>
        <w:spacing w:before="240" w:after="100"/>
      </w:pPr>
      <w:r>
        <w:rPr>
          <w:rFonts w:ascii="Calibri" w:cs="Calibri" w:eastAsia="Calibri" w:hAnsi="Calibri"/>
          <w:b/>
          <w:bCs/>
          <w:color w:val="000000"/>
          <w:sz w:val="24"/>
          <w:szCs w:val="24"/>
        </w:rPr>
        <w:t xml:space="preserve">9 — Responsabilités (RACI)</w:t>
      </w: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40"/>
        <w:gridCol w:w="1840"/>
        <w:gridCol w:w="1840"/>
        <w:gridCol w:w="1840"/>
        <w:gridCol w:w="1840"/>
      </w:tblGrid>
      <w:tr>
        <w:tc>
          <w:tcPr>
            <w:tcW w:type="dxa" w:w="184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Action</w:t>
            </w:r>
          </w:p>
        </w:tc>
        <w:tc>
          <w:tcPr>
            <w:tcW w:type="dxa" w:w="184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R</w:t>
            </w:r>
          </w:p>
        </w:tc>
        <w:tc>
          <w:tcPr>
            <w:tcW w:type="dxa" w:w="184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A</w:t>
            </w:r>
          </w:p>
        </w:tc>
        <w:tc>
          <w:tcPr>
            <w:tcW w:type="dxa" w:w="184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C</w:t>
            </w:r>
          </w:p>
        </w:tc>
        <w:tc>
          <w:tcPr>
            <w:tcW w:type="dxa" w:w="184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I</w:t>
            </w:r>
          </w:p>
        </w:tc>
      </w:tr>
      <w:tr>
        <w:tc>
          <w:tcPr>
            <w:tcW w:type="dxa" w:w="184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Collecte documentaire</w:t>
            </w:r>
          </w:p>
        </w:tc>
        <w:tc>
          <w:tcPr>
            <w:tcW w:type="dxa" w:w="184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Chargé KC</w:t>
            </w:r>
          </w:p>
        </w:tc>
        <w:tc>
          <w:tcPr>
            <w:tcW w:type="dxa" w:w="184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RCCL</w:t>
            </w:r>
          </w:p>
        </w:tc>
        <w:tc>
          <w:tcPr>
            <w:tcW w:type="dxa" w:w="184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KYC</w:t>
            </w:r>
          </w:p>
        </w:tc>
        <w:tc>
          <w:tcPr>
            <w:tcW w:type="dxa" w:w="184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Direction</w:t>
            </w:r>
          </w:p>
        </w:tc>
      </w:tr>
      <w:tr>
        <w:tc>
          <w:tcPr>
            <w:tcW w:type="dxa" w:w="184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Vérification d'identité</w:t>
            </w:r>
          </w:p>
        </w:tc>
        <w:tc>
          <w:tcPr>
            <w:tcW w:type="dxa" w:w="184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Analyste KY</w:t>
            </w:r>
          </w:p>
        </w:tc>
        <w:tc>
          <w:tcPr>
            <w:tcW w:type="dxa" w:w="184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RCCL</w:t>
            </w:r>
          </w:p>
        </w:tc>
        <w:tc>
          <w:tcPr>
            <w:tcW w:type="dxa" w:w="184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w:t>
            </w:r>
          </w:p>
        </w:tc>
        <w:tc>
          <w:tcPr>
            <w:tcW w:type="dxa" w:w="184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w:t>
            </w:r>
          </w:p>
        </w:tc>
      </w:tr>
      <w:tr>
        <w:tc>
          <w:tcPr>
            <w:tcW w:type="dxa" w:w="184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Qualification profil économique</w:t>
            </w:r>
          </w:p>
        </w:tc>
        <w:tc>
          <w:tcPr>
            <w:tcW w:type="dxa" w:w="184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Chargé KC</w:t>
            </w:r>
          </w:p>
        </w:tc>
        <w:tc>
          <w:tcPr>
            <w:tcW w:type="dxa" w:w="184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RCCL</w:t>
            </w:r>
          </w:p>
        </w:tc>
        <w:tc>
          <w:tcPr>
            <w:tcW w:type="dxa" w:w="184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KYC</w:t>
            </w:r>
          </w:p>
        </w:tc>
        <w:tc>
          <w:tcPr>
            <w:tcW w:type="dxa" w:w="184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w:t>
            </w:r>
          </w:p>
        </w:tc>
      </w:tr>
      <w:tr>
        <w:tc>
          <w:tcPr>
            <w:tcW w:type="dxa" w:w="184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Criblage initial</w:t>
            </w:r>
          </w:p>
        </w:tc>
        <w:tc>
          <w:tcPr>
            <w:tcW w:type="dxa" w:w="184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Analyste KY</w:t>
            </w:r>
          </w:p>
        </w:tc>
        <w:tc>
          <w:tcPr>
            <w:tcW w:type="dxa" w:w="184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RCCL</w:t>
            </w:r>
          </w:p>
        </w:tc>
        <w:tc>
          <w:tcPr>
            <w:tcW w:type="dxa" w:w="184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w:t>
            </w:r>
          </w:p>
        </w:tc>
        <w:tc>
          <w:tcPr>
            <w:tcW w:type="dxa" w:w="184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w:t>
            </w:r>
          </w:p>
        </w:tc>
      </w:tr>
      <w:tr>
        <w:tc>
          <w:tcPr>
            <w:tcW w:type="dxa" w:w="184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Décision acceptation standard</w:t>
            </w:r>
          </w:p>
        </w:tc>
        <w:tc>
          <w:tcPr>
            <w:tcW w:type="dxa" w:w="184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Chargé KC</w:t>
            </w:r>
          </w:p>
        </w:tc>
        <w:tc>
          <w:tcPr>
            <w:tcW w:type="dxa" w:w="184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RCCL</w:t>
            </w:r>
          </w:p>
        </w:tc>
        <w:tc>
          <w:tcPr>
            <w:tcW w:type="dxa" w:w="184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w:t>
            </w:r>
          </w:p>
        </w:tc>
        <w:tc>
          <w:tcPr>
            <w:tcW w:type="dxa" w:w="184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Direction</w:t>
            </w:r>
          </w:p>
        </w:tc>
      </w:tr>
      <w:tr>
        <w:tc>
          <w:tcPr>
            <w:tcW w:type="dxa" w:w="184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Décision acceptation risque élevé</w:t>
            </w:r>
          </w:p>
        </w:tc>
        <w:tc>
          <w:tcPr>
            <w:tcW w:type="dxa" w:w="184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RCCL</w:t>
            </w:r>
          </w:p>
        </w:tc>
        <w:tc>
          <w:tcPr>
            <w:tcW w:type="dxa" w:w="184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DG</w:t>
            </w:r>
          </w:p>
        </w:tc>
        <w:tc>
          <w:tcPr>
            <w:tcW w:type="dxa" w:w="184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Compliance</w:t>
            </w:r>
          </w:p>
        </w:tc>
        <w:tc>
          <w:tcPr>
            <w:tcW w:type="dxa" w:w="184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Direction</w:t>
            </w:r>
          </w:p>
        </w:tc>
      </w:tr>
      <w:tr>
        <w:tc>
          <w:tcPr>
            <w:tcW w:type="dxa" w:w="184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Décision refus</w:t>
            </w:r>
          </w:p>
        </w:tc>
        <w:tc>
          <w:tcPr>
            <w:tcW w:type="dxa" w:w="184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RCCL</w:t>
            </w:r>
          </w:p>
        </w:tc>
        <w:tc>
          <w:tcPr>
            <w:tcW w:type="dxa" w:w="184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DG</w:t>
            </w:r>
          </w:p>
        </w:tc>
        <w:tc>
          <w:tcPr>
            <w:tcW w:type="dxa" w:w="184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w:t>
            </w:r>
          </w:p>
        </w:tc>
        <w:tc>
          <w:tcPr>
            <w:tcW w:type="dxa" w:w="184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Direction</w:t>
            </w:r>
          </w:p>
        </w:tc>
      </w:tr>
      <w:tr>
        <w:tc>
          <w:tcPr>
            <w:tcW w:type="dxa" w:w="184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Mise à jour dossier</w:t>
            </w:r>
          </w:p>
        </w:tc>
        <w:tc>
          <w:tcPr>
            <w:tcW w:type="dxa" w:w="184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Chargé KC</w:t>
            </w:r>
          </w:p>
        </w:tc>
        <w:tc>
          <w:tcPr>
            <w:tcW w:type="dxa" w:w="184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RCCL</w:t>
            </w:r>
          </w:p>
        </w:tc>
        <w:tc>
          <w:tcPr>
            <w:tcW w:type="dxa" w:w="184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KYC</w:t>
            </w:r>
          </w:p>
        </w:tc>
        <w:tc>
          <w:tcPr>
            <w:tcW w:type="dxa" w:w="184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w:t>
            </w:r>
          </w:p>
        </w:tc>
      </w:tr>
    </w:tbl>
    <w:p>
      <w:pPr>
        <w:spacing w:before="100" w:after="0"/>
      </w:pPr>
    </w:p>
    <w:p>
      <w:pPr>
        <w:spacing w:before="60" w:after="80"/>
      </w:pPr>
      <w:r>
        <w:rPr>
          <w:rFonts w:ascii="Calibri" w:cs="Calibri" w:eastAsia="Calibri" w:hAnsi="Calibri"/>
          <w:color w:val="1F1F1F"/>
          <w:sz w:val="22"/>
          <w:szCs w:val="22"/>
        </w:rPr>
        <w:t xml:space="preserve">*R = Réalisateur | A = Approbateur | C = Consulté | I = Informé | RCCL = Responsable Conformité / Contrôle LCB-FT | KC = Clientèle | DG = Direction Générale*</w:t>
      </w:r>
    </w:p>
    <w:p>
      <w:pPr>
        <w:spacing w:before="60" w:after="0"/>
      </w:pPr>
    </w:p>
    <w:p>
      <w:pPr>
        <w:spacing w:before="60" w:after="0"/>
      </w:pPr>
    </w:p>
    <w:p>
      <w:pPr>
        <w:pStyle w:val="Heading2"/>
        <w:spacing w:before="240" w:after="100"/>
      </w:pPr>
      <w:r>
        <w:rPr>
          <w:rFonts w:ascii="Calibri" w:cs="Calibri" w:eastAsia="Calibri" w:hAnsi="Calibri"/>
          <w:b/>
          <w:bCs/>
          <w:color w:val="000000"/>
          <w:sz w:val="24"/>
          <w:szCs w:val="24"/>
        </w:rPr>
        <w:t xml:space="preserve">10 — Documents associés</w:t>
      </w: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c>
          <w:tcPr>
            <w:tcW w:type="dxa" w:w="34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Document</w:t>
            </w:r>
          </w:p>
        </w:tc>
        <w:tc>
          <w:tcPr>
            <w:tcW w:type="dxa" w:w="58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Référence</w:t>
            </w:r>
          </w:p>
        </w:tc>
      </w:tr>
      <w:tr>
        <w:tc>
          <w:tcPr>
            <w:tcW w:type="dxa" w:w="3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Entrée en relation — Personne morale</w:t>
            </w:r>
          </w:p>
        </w:tc>
        <w:tc>
          <w:tcPr>
            <w:tcW w:type="dxa" w:w="5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EB-KYC-002</w:t>
            </w:r>
          </w:p>
        </w:tc>
      </w:tr>
      <w:tr>
        <w:tc>
          <w:tcPr>
            <w:tcW w:type="dxa" w:w="3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Identification bénéficiaire effectif</w:t>
            </w:r>
          </w:p>
        </w:tc>
        <w:tc>
          <w:tcPr>
            <w:tcW w:type="dxa" w:w="5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EB-UBO-001</w:t>
            </w:r>
          </w:p>
        </w:tc>
      </w:tr>
      <w:tr>
        <w:tc>
          <w:tcPr>
            <w:tcW w:type="dxa" w:w="3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Vigilance renforcée (EDD)</w:t>
            </w:r>
          </w:p>
        </w:tc>
        <w:tc>
          <w:tcPr>
            <w:tcW w:type="dxa" w:w="5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EB-EDD-001</w:t>
            </w:r>
          </w:p>
        </w:tc>
      </w:tr>
      <w:tr>
        <w:tc>
          <w:tcPr>
            <w:tcW w:type="dxa" w:w="3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Vigilance simplifiée (SDD)</w:t>
            </w:r>
          </w:p>
        </w:tc>
        <w:tc>
          <w:tcPr>
            <w:tcW w:type="dxa" w:w="5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EB-SDD-001</w:t>
            </w:r>
          </w:p>
        </w:tc>
      </w:tr>
      <w:tr>
        <w:tc>
          <w:tcPr>
            <w:tcW w:type="dxa" w:w="3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Criblage sanctions et PPE</w:t>
            </w:r>
          </w:p>
        </w:tc>
        <w:tc>
          <w:tcPr>
            <w:tcW w:type="dxa" w:w="5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EB-SCR-001</w:t>
            </w:r>
          </w:p>
        </w:tc>
      </w:tr>
      <w:tr>
        <w:tc>
          <w:tcPr>
            <w:tcW w:type="dxa" w:w="3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Adverse media</w:t>
            </w:r>
          </w:p>
        </w:tc>
        <w:tc>
          <w:tcPr>
            <w:tcW w:type="dxa" w:w="5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EB-SCR-002</w:t>
            </w:r>
          </w:p>
        </w:tc>
      </w:tr>
      <w:tr>
        <w:tc>
          <w:tcPr>
            <w:tcW w:type="dxa" w:w="3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Gel des avoirs</w:t>
            </w:r>
          </w:p>
        </w:tc>
        <w:tc>
          <w:tcPr>
            <w:tcW w:type="dxa" w:w="5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EB-GEL-001</w:t>
            </w:r>
          </w:p>
        </w:tc>
      </w:tr>
      <w:tr>
        <w:tc>
          <w:tcPr>
            <w:tcW w:type="dxa" w:w="3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Déclaration de soupçon Tracfin</w:t>
            </w:r>
          </w:p>
        </w:tc>
        <w:tc>
          <w:tcPr>
            <w:tcW w:type="dxa" w:w="5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EB-TRC-001</w:t>
            </w:r>
          </w:p>
        </w:tc>
      </w:tr>
      <w:tr>
        <w:tc>
          <w:tcPr>
            <w:tcW w:type="dxa" w:w="3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Monitoring transactionnel</w:t>
            </w:r>
          </w:p>
        </w:tc>
        <w:tc>
          <w:tcPr>
            <w:tcW w:type="dxa" w:w="5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EB-MON-001</w:t>
            </w:r>
          </w:p>
        </w:tc>
      </w:tr>
      <w:tr>
        <w:tc>
          <w:tcPr>
            <w:tcW w:type="dxa" w:w="3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Politique générale LCB-FT</w:t>
            </w:r>
          </w:p>
        </w:tc>
        <w:tc>
          <w:tcPr>
            <w:tcW w:type="dxa" w:w="5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EB-POL-001</w:t>
            </w:r>
          </w:p>
        </w:tc>
      </w:tr>
      <w:tr>
        <w:tc>
          <w:tcPr>
            <w:tcW w:type="dxa" w:w="3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Classification des risques</w:t>
            </w:r>
          </w:p>
        </w:tc>
        <w:tc>
          <w:tcPr>
            <w:tcW w:type="dxa" w:w="5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EB-RISK-001</w:t>
            </w:r>
          </w:p>
        </w:tc>
      </w:tr>
    </w:tbl>
    <w:p>
      <w:pPr>
        <w:spacing w:before="100" w:after="0"/>
      </w:pPr>
    </w:p>
    <w:p>
      <w:pPr>
        <w:spacing w:before="60" w:after="0"/>
      </w:pPr>
    </w:p>
    <w:p>
      <w:pPr>
        <w:spacing w:before="60" w:after="80"/>
      </w:pPr>
      <w:r>
        <w:rPr>
          <w:rFonts w:ascii="Calibri" w:cs="Calibri" w:eastAsia="Calibri" w:hAnsi="Calibri"/>
          <w:color w:val="1F1F1F"/>
          <w:sz w:val="22"/>
          <w:szCs w:val="22"/>
        </w:rPr>
        <w:t xml:space="preserve">*Document produit par Early Brief — Veille réglementaire augmentée*</w:t>
      </w:r>
    </w:p>
    <w:p>
      <w:pPr>
        <w:spacing w:before="60" w:after="80"/>
      </w:pPr>
      <w:r>
        <w:rPr>
          <w:rFonts w:ascii="Calibri" w:cs="Calibri" w:eastAsia="Calibri" w:hAnsi="Calibri"/>
          <w:color w:val="1F1F1F"/>
          <w:sz w:val="22"/>
          <w:szCs w:val="22"/>
        </w:rPr>
        <w:t xml:space="preserve">*Ce template est fourni à titre indicatif. Il doit être adapté au profil, aux activités et aux textes applicables à chaque établissement. Early Brief ne saurait être tenu responsable des décisions prises sur la base de ce document sans validation juridique préalable.*</w:t>
      </w:r>
    </w:p>
    <w:p>
      <w:pPr>
        <w:spacing w:before="60" w:after="0"/>
      </w:pPr>
    </w:p>
    <w:sectPr>
      <w:headerReference w:type="default" r:id="rId6"/>
      <w:footerReference w:type="default" r:id="rId7"/>
      <w:pgSz w:w="11906" w:h="16838" w:orient="portrait"/>
      <w:pgMar w:top="900" w:right="1134"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0C0" w:sz="4" w:space="4"/>
      </w:pBdr>
      <w:spacing w:before="60" w:after="0"/>
    </w:pPr>
    <w:r>
      <w:rPr>
        <w:rFonts w:ascii="Calibri" w:cs="Calibri" w:eastAsia="Calibri" w:hAnsi="Calibri"/>
        <w:color w:val="A0A0A0"/>
        <w:sz w:val="16"/>
        <w:szCs w:val="16"/>
      </w:rPr>
      <w:t xml:space="preserve">EB-KYC-001-v1.0   —   Confidentiel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C0C0" w:sz="4" w:space="4"/>
      </w:pBdr>
      <w:spacing w:before="0" w:after="60"/>
    </w:pPr>
    <w:r>
      <w:rPr>
        <w:rFonts w:ascii="Courier New" w:cs="Courier New" w:eastAsia="Courier New" w:hAnsi="Courier New"/>
        <w:color w:val="A0A0A0"/>
        <w:sz w:val="18"/>
        <w:szCs w:val="18"/>
      </w:rPr>
      <w:t xml:space="preserve">EB-KYC-001-v1.0</w:t>
    </w:r>
    <w:r>
      <w:rPr>
        <w:rFonts w:ascii="Calibri" w:cs="Calibri" w:eastAsia="Calibri" w:hAnsi="Calibri"/>
        <w:color w:val="A0A0A0"/>
        <w:sz w:val="18"/>
        <w:szCs w:val="18"/>
      </w:rPr>
      <w:t xml:space="preserve">   —   </w:t>
    </w:r>
    <w:r>
      <w:rPr>
        <w:rFonts w:ascii="Calibri" w:cs="Calibri" w:eastAsia="Calibri" w:hAnsi="Calibri"/>
        <w:color w:val="595959"/>
        <w:sz w:val="18"/>
        <w:szCs w:val="18"/>
      </w:rPr>
      <w:t xml:space="preserve">Entrée en relation — Personne physique (PP)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Calibri" w:cs="Calibri" w:eastAsia="Calibri" w:hAnsi="Calibri"/>
      <w:b/>
      <w:bCs/>
      <w:color w:val="000000"/>
      <w:sz w:val="30"/>
      <w:szCs w:val="30"/>
    </w:rPr>
  </w:style>
  <w:style w:type="paragraph" w:styleId="Heading2">
    <w:name w:val="Heading 2"/>
    <w:basedOn w:val="Normal"/>
    <w:next w:val="Normal"/>
    <w:qFormat/>
    <w:pPr>
      <w:spacing w:before="240" w:after="100"/>
      <w:outlineLvl w:val="1"/>
    </w:pPr>
    <w:rPr>
      <w:rFonts w:ascii="Calibri" w:cs="Calibri" w:eastAsia="Calibri" w:hAnsi="Calibri"/>
      <w:b/>
      <w:bCs/>
      <w:color w:val="000000"/>
      <w:sz w:val="24"/>
      <w:szCs w:val="24"/>
    </w:rPr>
  </w:style>
  <w:style w:type="paragraph" w:styleId="Heading3">
    <w:name w:val="Heading 3"/>
    <w:basedOn w:val="Normal"/>
    <w:next w:val="Normal"/>
    <w:qFormat/>
    <w:pPr>
      <w:spacing w:before="180" w:after="80"/>
      <w:outlineLvl w:val="2"/>
    </w:pPr>
    <w:rPr>
      <w:rFonts w:ascii="Calibri" w:cs="Calibri" w:eastAsia="Calibri" w:hAnsi="Calibri"/>
      <w:b/>
      <w:bCs/>
      <w:color w:val="1F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2026-04-10T16:44:31.060Z</dcterms:created>
  <dcterms:modified xsi:type="dcterms:W3CDTF">2026-04-10T16:44:31.060Z</dcterms:modified>
</cp:coreProperties>
</file>

<file path=docProps/custom.xml><?xml version="1.0" encoding="utf-8"?>
<Properties xmlns="http://schemas.openxmlformats.org/officeDocument/2006/custom-properties" xmlns:vt="http://schemas.openxmlformats.org/officeDocument/2006/docPropsVTypes"/>
</file>