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40"/>
      </w:pPr>
      <w:r>
        <w:rPr>
          <w:rFonts w:ascii="Calibri" w:cs="Calibri" w:eastAsia="Calibri" w:hAnsi="Calibri"/>
          <w:b/>
          <w:bCs/>
          <w:color w:val="A0A0A0"/>
          <w:sz w:val="28"/>
          <w:szCs w:val="28"/>
        </w:rPr>
        <w:t xml:space="preserve">[NOM DE L'ÉTABLISSEMENT]</w:t>
      </w:r>
    </w:p>
    <w:p>
      <w:pPr>
        <w:spacing w:before="0" w:after="60"/>
      </w:pPr>
      <w:r>
        <w:rPr>
          <w:rFonts w:ascii="Calibri" w:cs="Calibri" w:eastAsia="Calibri" w:hAnsi="Calibri"/>
          <w:b/>
          <w:bCs/>
          <w:color w:val="000000"/>
          <w:sz w:val="40"/>
          <w:szCs w:val="40"/>
        </w:rPr>
        <w:t xml:space="preserve">Entrée en relation — Personne morale (PM)</w:t>
      </w:r>
    </w:p>
    <w:p>
      <w:pPr>
        <w:spacing w:before="0" w:after="40"/>
      </w:pPr>
      <w:r>
        <w:rPr>
          <w:rFonts w:ascii="Calibri" w:cs="Calibri" w:eastAsia="Calibri" w:hAnsi="Calibri"/>
          <w:i/>
          <w:iCs/>
          <w:color w:val="595959"/>
          <w:sz w:val="22"/>
          <w:szCs w:val="22"/>
        </w:rPr>
        <w:t xml:space="preserve">Identification, vérification et acceptation du client personne morale</w:t>
      </w:r>
    </w:p>
    <w:p>
      <w:pPr>
        <w:pBdr>
          <w:bottom w:val="single" w:color="C0C0C0" w:sz="6" w:space="4"/>
        </w:pBdr>
        <w:spacing w:before="0" w:after="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Champ</w:t>
            </w:r>
          </w:p>
        </w:tc>
        <w:tc>
          <w:tcPr>
            <w:tcW w:type="dxa" w:w="60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Valeur</w:t>
            </w:r>
          </w:p>
        </w:tc>
      </w:tr>
      <w:tr>
        <w:tc>
          <w:tcPr>
            <w:tcW w:type="dxa" w:w="3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Référence</w:t>
            </w:r>
          </w:p>
        </w:tc>
        <w:tc>
          <w:tcPr>
            <w:tcW w:type="dxa" w:w="6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EB-KYC-002-v1.0</w:t>
            </w:r>
          </w:p>
        </w:tc>
      </w:tr>
      <w:tr>
        <w:tc>
          <w:tcPr>
            <w:tcW w:type="dxa" w:w="3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Version</w:t>
            </w:r>
          </w:p>
        </w:tc>
        <w:tc>
          <w:tcPr>
            <w:tcW w:type="dxa" w:w="6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1.0</w:t>
            </w:r>
          </w:p>
        </w:tc>
      </w:tr>
      <w:tr>
        <w:tc>
          <w:tcPr>
            <w:tcW w:type="dxa" w:w="3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Classification</w:t>
            </w:r>
          </w:p>
        </w:tc>
        <w:tc>
          <w:tcPr>
            <w:tcW w:type="dxa" w:w="6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Confidentiel — Usage interne</w:t>
            </w:r>
          </w:p>
        </w:tc>
      </w:tr>
      <w:tr>
        <w:tc>
          <w:tcPr>
            <w:tcW w:type="dxa" w:w="3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Périmètre</w:t>
            </w:r>
          </w:p>
        </w:tc>
        <w:tc>
          <w:tcPr>
            <w:tcW w:type="dxa" w:w="6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Entrée en relation PM — Tous assujettis L.561-2 CMF</w:t>
            </w:r>
          </w:p>
        </w:tc>
      </w:tr>
      <w:tr>
        <w:tc>
          <w:tcPr>
            <w:tcW w:type="dxa" w:w="3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Rédacteur</w:t>
            </w:r>
          </w:p>
        </w:tc>
        <w:tc>
          <w:tcPr>
            <w:tcW w:type="dxa" w:w="6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[Nom]</w:t>
            </w:r>
          </w:p>
        </w:tc>
      </w:tr>
      <w:tr>
        <w:tc>
          <w:tcPr>
            <w:tcW w:type="dxa" w:w="3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Approbateur</w:t>
            </w:r>
          </w:p>
        </w:tc>
        <w:tc>
          <w:tcPr>
            <w:tcW w:type="dxa" w:w="6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[Responsable Conformité / RCCL]</w:t>
            </w:r>
          </w:p>
        </w:tc>
      </w:tr>
      <w:tr>
        <w:tc>
          <w:tcPr>
            <w:tcW w:type="dxa" w:w="3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Date d'approbation</w:t>
            </w:r>
          </w:p>
        </w:tc>
        <w:tc>
          <w:tcPr>
            <w:tcW w:type="dxa" w:w="6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[JJ/MM/AAAA]</w:t>
            </w:r>
          </w:p>
        </w:tc>
      </w:tr>
      <w:tr>
        <w:tc>
          <w:tcPr>
            <w:tcW w:type="dxa" w:w="3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Prochaine révision</w:t>
            </w:r>
          </w:p>
        </w:tc>
        <w:tc>
          <w:tcPr>
            <w:tcW w:type="dxa" w:w="6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[JJ/MM/AAAA + 12 mois]</w:t>
            </w:r>
          </w:p>
        </w:tc>
      </w:tr>
    </w:tbl>
    <w:p>
      <w:pPr>
        <w:spacing w:before="160" w:after="0"/>
      </w:pPr>
    </w:p>
    <w:p>
      <w:pPr>
        <w:pStyle w:val="Heading2"/>
        <w:spacing w:before="240" w:after="100"/>
      </w:pPr>
      <w:r>
        <w:rPr>
          <w:rFonts w:ascii="Calibri" w:cs="Calibri" w:eastAsia="Calibri" w:hAnsi="Calibri"/>
          <w:b/>
          <w:bCs/>
          <w:color w:val="000000"/>
          <w:sz w:val="24"/>
          <w:szCs w:val="24"/>
        </w:rPr>
        <w:t xml:space="preserve">Historique des versions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5000"/>
      </w:tblGrid>
      <w:tr>
        <w:tc>
          <w:tcPr>
            <w:tcW w:type="dxa" w:w="12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Version</w:t>
            </w:r>
          </w:p>
        </w:tc>
        <w:tc>
          <w:tcPr>
            <w:tcW w:type="dxa" w:w="14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Date</w:t>
            </w:r>
          </w:p>
        </w:tc>
        <w:tc>
          <w:tcPr>
            <w:tcW w:type="dxa" w:w="16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Auteur</w:t>
            </w:r>
          </w:p>
        </w:tc>
        <w:tc>
          <w:tcPr>
            <w:tcW w:type="dxa" w:w="50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Modifications</w:t>
            </w:r>
          </w:p>
        </w:tc>
      </w:tr>
      <w:tr>
        <w:tc>
          <w:tcPr>
            <w:tcW w:type="dxa" w:w="1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1.0</w:t>
            </w:r>
          </w:p>
        </w:tc>
        <w:tc>
          <w:tcPr>
            <w:tcW w:type="dxa" w:w="1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Avril 2026</w:t>
            </w:r>
          </w:p>
        </w:tc>
        <w:tc>
          <w:tcPr>
            <w:tcW w:type="dxa" w:w="1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Early Brief</w:t>
            </w:r>
          </w:p>
        </w:tc>
        <w:tc>
          <w:tcPr>
            <w:tcW w:type="dxa" w:w="5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Création</w:t>
            </w:r>
          </w:p>
        </w:tc>
      </w:tr>
    </w:tbl>
    <w:p>
      <w:pPr>
        <w:spacing w:before="8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EBEBEB" w:val="clear"/>
            <w:tcMar>
              <w:top w:type="dxa" w:w="80"/>
              <w:left w:type="dxa" w:w="160"/>
              <w:bottom w:type="dxa" w:w="40"/>
              <w:right w:type="dxa" w:w="160"/>
            </w:tcMar>
          </w:tcPr>
          <w:p>
            <w:r>
              <w:rPr>
                <w:rFonts w:ascii="Calibri" w:cs="Calibri" w:eastAsia="Calibri" w:hAnsi="Calibri"/>
                <w:b/>
                <w:bCs/>
                <w:color w:val="1F1F1F"/>
                <w:sz w:val="20"/>
                <w:szCs w:val="20"/>
              </w:rPr>
              <w:t xml:space="preserve">✅  Vérification — sources</w:t>
            </w:r>
          </w:p>
        </w:tc>
      </w:tr>
      <w:tr>
        <w:tc>
          <w:tcPr>
            <w:tcW w:type="dxa" w:w="9200"/>
            <w:tcBorders>
              <w:top w:val="none" w:color="FFFFFF" w:sz="0"/>
              <w:left w:val="single" w:color="C0C0C0" w:sz="4"/>
              <w:bottom w:val="none" w:color="FFFFFF" w:sz="0"/>
              <w:right w:val="single" w:color="C0C0C0" w:sz="4"/>
            </w:tcBorders>
            <w:shd w:fill="EBEBEB"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Base légale vérifiée sur legifrance.gouv.fr (L.561-5-1, R.561-5-1 CMF)</w:t>
            </w:r>
          </w:p>
        </w:tc>
      </w:tr>
      <w:tr>
        <w:tc>
          <w:tcPr>
            <w:tcW w:type="dxa" w:w="9200"/>
            <w:tcBorders>
              <w:top w:val="none" w:color="FFFFFF" w:sz="0"/>
              <w:left w:val="single" w:color="C0C0C0" w:sz="4"/>
              <w:bottom w:val="none" w:color="FFFFFF" w:sz="0"/>
              <w:right w:val="single" w:color="C0C0C0" w:sz="4"/>
            </w:tcBorders>
            <w:shd w:fill="EBEBEB"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Vérifier : data.inpi.fr (RBE) — acpr.banque-france.fr</w:t>
            </w:r>
          </w:p>
        </w:tc>
      </w:tr>
      <w:tr>
        <w:tc>
          <w:tcPr>
            <w:tcW w:type="dxa" w:w="9200"/>
            <w:tcBorders>
              <w:top w:val="single" w:color="C0C0C0" w:sz="4"/>
              <w:left w:val="single" w:color="C0C0C0" w:sz="4"/>
              <w:bottom w:val="single" w:color="C0C0C0" w:sz="4"/>
              <w:right w:val="single" w:color="C0C0C0" w:sz="4"/>
            </w:tcBorders>
            <w:shd w:fill="EBEBEB" w:val="clear"/>
            <w:tcMar>
              <w:top w:type="dxa" w:w="2"/>
              <w:bottom w:type="dxa" w:w="2"/>
            </w:tcMar>
          </w:tcPr>
          <w:p/>
        </w:tc>
      </w:tr>
    </w:tbl>
    <w:p>
      <w:pPr>
        <w:spacing w:before="200" w:after="0"/>
      </w:pPr>
    </w:p>
    <w:p>
      <w:pPr>
        <w:pStyle w:val="Heading2"/>
        <w:spacing w:before="240" w:after="100"/>
      </w:pPr>
      <w:r>
        <w:rPr>
          <w:rFonts w:ascii="Calibri" w:cs="Calibri" w:eastAsia="Calibri" w:hAnsi="Calibri"/>
          <w:b/>
          <w:bCs/>
          <w:color w:val="000000"/>
          <w:sz w:val="24"/>
          <w:szCs w:val="24"/>
        </w:rPr>
        <w:t xml:space="preserve">1 — Objet et périmètre</w:t>
      </w:r>
    </w:p>
    <w:p>
      <w:pPr>
        <w:spacing w:before="60" w:after="0"/>
      </w:pPr>
    </w:p>
    <w:p>
      <w:pPr>
        <w:spacing w:before="60" w:after="80"/>
      </w:pPr>
      <w:r>
        <w:rPr>
          <w:rFonts w:ascii="Calibri" w:cs="Calibri" w:eastAsia="Calibri" w:hAnsi="Calibri"/>
          <w:color w:val="1F1F1F"/>
          <w:sz w:val="22"/>
          <w:szCs w:val="22"/>
        </w:rPr>
        <w:t xml:space="preserve">Cette procédure définit les modalités d'identification, de vérification et d'acceptation des clients personnes morales lors de l'entrée en relation d'affaires. Elle couvre les sociétés commerciales, associations, fondations, groupements professionnels et toute entité dotée de la personnalité juridique.</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Base légale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BASE LÉGALE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L.561-5 CMF — Obligation d'identification de la personne morale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préalable à l'entrée en relation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L.561-5-1 CMF — Identification obligatoire du bénéficiaire effectif</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R.561-5-1 CMF — Modalités de vérification : extrait de registre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officiel (Kbis ou équivalent étranger)</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R.561-7 CMF — Vérification de l'habilitation du représentant légal</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L.561-8 CMF — Refus ou rupture si identification impossible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L.561-12 CMF — Conservation des documents 5 ans après fin de relation</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Note opérationnelle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NOTE EARLY BRIEF — CONVENTION DE LECTURE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Ce document contient des Notes Early Brief. Elles apportent un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éclairage opérationnel issu de la veille réglementaire Early Brief.</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Elles ne modifient pas les obligations légales. L'acheteur peut les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supprimer sans impact sur la conformité du document.</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p>
      <w:pPr>
        <w:pStyle w:val="Heading3"/>
        <w:spacing w:before="180" w:after="80"/>
      </w:pPr>
      <w:r>
        <w:rPr>
          <w:rFonts w:ascii="Calibri" w:cs="Calibri" w:eastAsia="Calibri" w:hAnsi="Calibri"/>
          <w:b/>
          <w:bCs/>
          <w:color w:val="1F1F1F"/>
          <w:sz w:val="22"/>
          <w:szCs w:val="22"/>
        </w:rPr>
        <w:t xml:space="preserve">1.1. Ce que couvre cette procédure</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Identification de la personne morale (dénomination, forme juridique, registre, siège)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Vérification via extrait de registre officiel (Kbis, registre étranger équivalent)</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Identification et vérification du représentant légal habilité</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Identification du ou des bénéficiaires effectifs → EB-UBO-001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Qualification de l'objet social et de l'activité</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Criblage initial (entité + représentant légal + BE)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Détection des déclencheurs d'EDD dès l'entrée en relation</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Décision d'acceptation et documentation du dossier</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Cas particuliers : holdings, structures fiduciaires, associations, groupements</w:t>
      </w:r>
    </w:p>
    <w:p>
      <w:pPr>
        <w:spacing w:before="60" w:after="0"/>
      </w:pPr>
    </w:p>
    <w:p>
      <w:pPr>
        <w:pStyle w:val="Heading3"/>
        <w:spacing w:before="180" w:after="80"/>
      </w:pPr>
      <w:r>
        <w:rPr>
          <w:rFonts w:ascii="Calibri" w:cs="Calibri" w:eastAsia="Calibri" w:hAnsi="Calibri"/>
          <w:b/>
          <w:bCs/>
          <w:color w:val="1F1F1F"/>
          <w:sz w:val="22"/>
          <w:szCs w:val="22"/>
        </w:rPr>
        <w:t xml:space="preserve">1.2. Ce que ne couvre pas cette procédure</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Entrée en relation personne physique → EB-KYC-001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Identification approfondie du bénéficiaire effectif → EB-UBO-001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Vigilance renforcée (EDD) → EB-EDD-001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Criblage détaillé sanctions / PPE → EB-SCR-001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Adverse media → EB-SCR-002</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Correspondance bancaire → EB-CBK-001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Agents et distributeurs → EB-AGT-001</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Point de vigilance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PRINCIPE FONDAMENTAL</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L'identification d'une PM comporte DEUX niveaux obligatoires :</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1) L'entité elle-même (existence légale, représentation)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2) Le(s) bénéficiaire(s) effectif(s) (personnes physiques derrière)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Ces deux niveaux sont également obligatoires. L'identification de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l'entité seule ne suffit pas à satisfaire L.561-5-1 CMF.</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2 — Parcours de traitement — Vue d'ensemble</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800"/>
        <w:gridCol w:w="2000"/>
      </w:tblGrid>
      <w:tr>
        <w:tc>
          <w:tcPr>
            <w:tcW w:type="dxa" w:w="1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Phase</w:t>
            </w:r>
          </w:p>
        </w:tc>
        <w:tc>
          <w:tcPr>
            <w:tcW w:type="dxa" w:w="30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Étape</w:t>
            </w:r>
          </w:p>
        </w:tc>
        <w:tc>
          <w:tcPr>
            <w:tcW w:type="dxa" w:w="28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Action</w:t>
            </w:r>
          </w:p>
        </w:tc>
        <w:tc>
          <w:tcPr>
            <w:tcW w:type="dxa" w:w="20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Gate</w:t>
            </w:r>
          </w:p>
        </w:tc>
      </w:tr>
      <w:tr>
        <w:tc>
          <w:tcPr>
            <w:tcW w:type="dxa" w:w="1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PHASE 1</w:t>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1</w:t>
            </w:r>
          </w:p>
        </w:tc>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Identification de l'entité PM</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Entité vérifiée</w:t>
            </w:r>
          </w:p>
        </w:tc>
      </w:tr>
      <w:tr>
        <w:tc>
          <w:tcPr>
            <w:tcW w:type="dxa" w:w="1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Identifier</w:t>
            </w:r>
          </w:p>
        </w:tc>
        <w:tc>
          <w:tcPr>
            <w:tcW w:type="dxa" w:w="3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(Kbis / registre officiel &lt; 3 mois)</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Phase 2</w:t>
            </w:r>
          </w:p>
        </w:tc>
      </w:tr>
      <w:tr>
        <w:tc>
          <w:tcPr>
            <w:tcW w:type="dxa" w:w="1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PHASE 2</w:t>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2</w:t>
            </w:r>
          </w:p>
        </w:tc>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Identification et vérification du RL</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RL habilité</w:t>
            </w:r>
          </w:p>
        </w:tc>
      </w:tr>
      <w:tr>
        <w:tc>
          <w:tcPr>
            <w:tcW w:type="dxa" w:w="1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Représentant</w:t>
            </w:r>
          </w:p>
        </w:tc>
        <w:tc>
          <w:tcPr>
            <w:tcW w:type="dxa" w:w="3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et de son habilitation (R.561-7)</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Phase 3</w:t>
            </w:r>
          </w:p>
        </w:tc>
      </w:tr>
      <w:tr>
        <w:tc>
          <w:tcPr>
            <w:tcW w:type="dxa" w:w="1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PHASE 3</w:t>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3</w:t>
            </w:r>
          </w:p>
        </w:tc>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Identification des bénéficiaires</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BE identifiés</w:t>
            </w:r>
          </w:p>
        </w:tc>
      </w:tr>
      <w:tr>
        <w:tc>
          <w:tcPr>
            <w:tcW w:type="dxa" w:w="1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BE</w:t>
            </w:r>
          </w:p>
        </w:tc>
        <w:tc>
          <w:tcPr>
            <w:tcW w:type="dxa" w:w="3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effectifs → EB-UBO-001</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Phase 4</w:t>
            </w:r>
          </w:p>
        </w:tc>
      </w:tr>
      <w:tr>
        <w:tc>
          <w:tcPr>
            <w:tcW w:type="dxa" w:w="1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PHASE 4</w:t>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4</w:t>
            </w:r>
          </w:p>
        </w:tc>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Qualification économique (objet,</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Profil complet</w:t>
            </w:r>
          </w:p>
        </w:tc>
      </w:tr>
      <w:tr>
        <w:tc>
          <w:tcPr>
            <w:tcW w:type="dxa" w:w="1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Qualifier</w:t>
            </w:r>
          </w:p>
        </w:tc>
        <w:tc>
          <w:tcPr>
            <w:tcW w:type="dxa" w:w="3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activité, flux, origine fonds)</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Phase 5</w:t>
            </w:r>
          </w:p>
        </w:tc>
      </w:tr>
      <w:tr>
        <w:tc>
          <w:tcPr>
            <w:tcW w:type="dxa" w:w="1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PHASE 5</w:t>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5</w:t>
            </w:r>
          </w:p>
        </w:tc>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Criblage initial (entité + RL + BE)</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Sans match</w:t>
            </w:r>
          </w:p>
        </w:tc>
      </w:tr>
      <w:tr>
        <w:tc>
          <w:tcPr>
            <w:tcW w:type="dxa" w:w="1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Cribler</w:t>
            </w:r>
          </w:p>
        </w:tc>
        <w:tc>
          <w:tcPr>
            <w:tcW w:type="dxa" w:w="3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bloquant → Ph.6</w:t>
            </w:r>
          </w:p>
        </w:tc>
      </w:tr>
      <w:tr>
        <w:tc>
          <w:tcPr>
            <w:tcW w:type="dxa" w:w="1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PHASE 6</w:t>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6</w:t>
            </w:r>
          </w:p>
        </w:tc>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Décision d'acceptation et documentation</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Relation ouverte</w:t>
            </w:r>
          </w:p>
        </w:tc>
      </w:tr>
      <w:tr>
        <w:tc>
          <w:tcPr>
            <w:tcW w:type="dxa" w:w="1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Décider</w:t>
            </w:r>
          </w:p>
        </w:tc>
        <w:tc>
          <w:tcPr>
            <w:tcW w:type="dxa" w:w="3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ou refusée</w:t>
            </w:r>
          </w:p>
        </w:tc>
      </w:tr>
    </w:tbl>
    <w:p>
      <w:pPr>
        <w:spacing w:before="100" w:after="0"/>
      </w:pPr>
    </w:p>
    <w:p>
      <w:pPr>
        <w:spacing w:before="60" w:after="0"/>
      </w:pPr>
    </w:p>
    <w:p>
      <w:pPr>
        <w:pStyle w:val="Heading2"/>
        <w:spacing w:before="240" w:after="100"/>
      </w:pPr>
      <w:r>
        <w:rPr>
          <w:rFonts w:ascii="Calibri" w:cs="Calibri" w:eastAsia="Calibri" w:hAnsi="Calibri"/>
          <w:b/>
          <w:bCs/>
          <w:color w:val="000000"/>
          <w:sz w:val="24"/>
          <w:szCs w:val="24"/>
        </w:rPr>
        <w:t xml:space="preserve">3 — Cadre normatif</w:t>
      </w:r>
    </w:p>
    <w:p>
      <w:pPr>
        <w:spacing w:before="60" w:after="0"/>
      </w:pPr>
    </w:p>
    <w:p>
      <w:pPr>
        <w:pStyle w:val="Heading3"/>
        <w:spacing w:before="180" w:after="80"/>
      </w:pPr>
      <w:r>
        <w:rPr>
          <w:rFonts w:ascii="Calibri" w:cs="Calibri" w:eastAsia="Calibri" w:hAnsi="Calibri"/>
          <w:b/>
          <w:bCs/>
          <w:color w:val="1F1F1F"/>
          <w:sz w:val="22"/>
          <w:szCs w:val="22"/>
        </w:rPr>
        <w:t xml:space="preserve">3.1. Niveau national français</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400"/>
      </w:tblGrid>
      <w:tr>
        <w:tc>
          <w:tcPr>
            <w:tcW w:type="dxa" w:w="22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Article</w:t>
            </w:r>
          </w:p>
        </w:tc>
        <w:tc>
          <w:tcPr>
            <w:tcW w:type="dxa" w:w="46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Objet</w:t>
            </w:r>
          </w:p>
        </w:tc>
        <w:tc>
          <w:tcPr>
            <w:tcW w:type="dxa" w:w="2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Caractère</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L.561-5 CMF</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Identification PM préalable à l'EER</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R.561-5-1 CMF</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Vérification par extrait de registre officiel</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R.561-7 CMF</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Vérification de l'habilitation du RL</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L.561-5-1 CMF</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Identification du ou des BE</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R.561-1 CMF</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Critères BE : seuil &gt; 25% capital/droits vote</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Référentiel</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L.561-8 CMF</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Refus si identification impossible</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L.561-12 CMF</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Conservation 5 ans après fin de relation</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bl>
    <w:p>
      <w:pPr>
        <w:spacing w:before="100" w:after="0"/>
      </w:pPr>
    </w:p>
    <w:p>
      <w:pPr>
        <w:spacing w:before="60" w:after="0"/>
      </w:pPr>
    </w:p>
    <w:p>
      <w:pPr>
        <w:pStyle w:val="Heading2"/>
        <w:spacing w:before="240" w:after="100"/>
      </w:pPr>
      <w:r>
        <w:rPr>
          <w:rFonts w:ascii="Calibri" w:cs="Calibri" w:eastAsia="Calibri" w:hAnsi="Calibri"/>
          <w:b/>
          <w:bCs/>
          <w:color w:val="000000"/>
          <w:sz w:val="24"/>
          <w:szCs w:val="24"/>
        </w:rPr>
        <w:t xml:space="preserve">4 — Étapes détaillées</w:t>
      </w:r>
    </w:p>
    <w:p>
      <w:pPr>
        <w:spacing w:before="60" w:after="0"/>
      </w:pPr>
    </w:p>
    <w:p>
      <w:pPr>
        <w:pStyle w:val="Heading3"/>
        <w:spacing w:before="180" w:after="80"/>
      </w:pPr>
      <w:r>
        <w:rPr>
          <w:rFonts w:ascii="Calibri" w:cs="Calibri" w:eastAsia="Calibri" w:hAnsi="Calibri"/>
          <w:b/>
          <w:bCs/>
          <w:color w:val="1F1F1F"/>
          <w:sz w:val="22"/>
          <w:szCs w:val="22"/>
        </w:rPr>
        <w:t xml:space="preserve">4.1. Étape 1 — Identification de l'entité PM</w:t>
      </w:r>
    </w:p>
    <w:p>
      <w:pPr>
        <w:spacing w:before="60" w:after="0"/>
      </w:pPr>
    </w:p>
    <w:p>
      <w:pPr>
        <w:spacing w:before="60" w:after="80"/>
      </w:pPr>
      <w:r>
        <w:rPr>
          <w:rFonts w:ascii="Calibri" w:cs="Calibri" w:eastAsia="Calibri" w:hAnsi="Calibri"/>
          <w:color w:val="1F1F1F"/>
          <w:sz w:val="22"/>
          <w:szCs w:val="22"/>
        </w:rPr>
        <w:t xml:space="preserve">Documents à collecter</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Forme juridique</w:t>
            </w:r>
          </w:p>
        </w:tc>
        <w:tc>
          <w:tcPr>
            <w:tcW w:type="dxa" w:w="58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Document requis</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Société commerciale FR (SA, SAS, SARL...)</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Extrait Kbis &lt; 3 mois (INPI)</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Association loi 1901</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Récépissé préfecture + statuts</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Fondation / fonds de dotation</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Statuts + JO ou agrément</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Entité étrangère (UE/EEE)</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Extrait registre étranger équivalent &lt; 3 mois</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Entité étrangère (hors UE/EEE)</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Extrait registre + traduction certifiée</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Groupement (GIE, GIP...)</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Acte constitutif + publication légale</w:t>
            </w:r>
          </w:p>
        </w:tc>
      </w:tr>
    </w:tbl>
    <w:p>
      <w:pPr>
        <w:spacing w:before="100" w:after="0"/>
      </w:pPr>
    </w:p>
    <w:p>
      <w:pPr>
        <w:spacing w:before="60" w:after="80"/>
      </w:pPr>
      <w:r>
        <w:rPr>
          <w:rFonts w:ascii="Calibri" w:cs="Calibri" w:eastAsia="Calibri" w:hAnsi="Calibri"/>
          <w:color w:val="1F1F1F"/>
          <w:sz w:val="22"/>
          <w:szCs w:val="22"/>
        </w:rPr>
        <w:t xml:space="preserve">Informations à vérifier et documenter</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Dénomination sociale exacte et forme juridique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Numéro SIREN / identifiant registre étranger</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Siège social et adresse opérationnelle si différente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Date de constitution et durée de la société</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Objet social (activité déclarée)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Capital social et structure de détention (si disponible au registre)</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Note opérationnelle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NOTE EARLY BRIEF — KBIS EN LIGNE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Le Kbis peut être obtenu directement sur infogreffe.fr ou via</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l'API INPI (données ouvertes). Privilégier la vérification en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source primaire plutôt que la copie fournie par le client.</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Un Kbis fourni par le client doit être recoupé avec le registre.</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spacing w:before="60" w:after="80"/>
      </w:pPr>
      <w:r>
        <w:rPr>
          <w:rFonts w:ascii="Calibri" w:cs="Calibri" w:eastAsia="Calibri" w:hAnsi="Calibri"/>
          <w:color w:val="1F1F1F"/>
          <w:sz w:val="22"/>
          <w:szCs w:val="22"/>
        </w:rPr>
        <w:t xml:space="preserve">◆ GATE : Entité identifiée et existence légale vérifiée ? OUI → Étape 2 | NON → Demande de complément ou refus</w:t>
      </w: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pStyle w:val="Heading3"/>
        <w:spacing w:before="180" w:after="80"/>
      </w:pPr>
      <w:r>
        <w:rPr>
          <w:rFonts w:ascii="Calibri" w:cs="Calibri" w:eastAsia="Calibri" w:hAnsi="Calibri"/>
          <w:b/>
          <w:bCs/>
          <w:color w:val="1F1F1F"/>
          <w:sz w:val="22"/>
          <w:szCs w:val="22"/>
        </w:rPr>
        <w:t xml:space="preserve">4.2. Étape 2 — Identification et vérification du représentant légal</w:t>
      </w:r>
    </w:p>
    <w:p>
      <w:pPr>
        <w:spacing w:before="60" w:after="0"/>
      </w:pPr>
    </w:p>
    <w:p>
      <w:pPr>
        <w:spacing w:before="60" w:after="80"/>
      </w:pPr>
      <w:r>
        <w:rPr>
          <w:rFonts w:ascii="Calibri" w:cs="Calibri" w:eastAsia="Calibri" w:hAnsi="Calibri"/>
          <w:color w:val="1F1F1F"/>
          <w:sz w:val="22"/>
          <w:szCs w:val="22"/>
        </w:rPr>
        <w:t xml:space="preserve">Identifier la ou les personnes habilitées à engager la PM vis-à-vis de l'établissement.</w:t>
      </w:r>
    </w:p>
    <w:p>
      <w:pPr>
        <w:spacing w:before="60" w:after="0"/>
      </w:pPr>
    </w:p>
    <w:p>
      <w:pPr>
        <w:spacing w:before="60" w:after="80"/>
      </w:pPr>
      <w:r>
        <w:rPr>
          <w:rFonts w:ascii="Calibri" w:cs="Calibri" w:eastAsia="Calibri" w:hAnsi="Calibri"/>
          <w:color w:val="1F1F1F"/>
          <w:sz w:val="22"/>
          <w:szCs w:val="22"/>
        </w:rPr>
        <w:t xml:space="preserve">Documents à collecter</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Pièce d'identité du ou des représentants légaux (selon EB-KYC-001)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Document établissant l'habilitation : statuts, extrait Kbis mentionnant le dirigeant, procès-verbal d'AG de nomination</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Si mandataire : procuration originale + pièce d'identité du mandant ET du mandataire</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Point de vigilance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POINT DE VIGILANCE — RL MULTIPLE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Certaines structures ont plusieurs représentants légaux</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(co-gérants, présidents et DG). Identifier et vérifier tous ceux</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qui seront habilités à opérer le compte. Cribler chacun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indépendamment.</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spacing w:before="60" w:after="80"/>
      </w:pPr>
      <w:r>
        <w:rPr>
          <w:rFonts w:ascii="Calibri" w:cs="Calibri" w:eastAsia="Calibri" w:hAnsi="Calibri"/>
          <w:color w:val="1F1F1F"/>
          <w:sz w:val="22"/>
          <w:szCs w:val="22"/>
        </w:rPr>
        <w:t xml:space="preserve">◆ GATE : RL identifié, habilitation vérifiée, pièce d'identité conforme ? OUI → Étape 3 | NON → Complément</w:t>
      </w: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pStyle w:val="Heading3"/>
        <w:spacing w:before="180" w:after="80"/>
      </w:pPr>
      <w:r>
        <w:rPr>
          <w:rFonts w:ascii="Calibri" w:cs="Calibri" w:eastAsia="Calibri" w:hAnsi="Calibri"/>
          <w:b/>
          <w:bCs/>
          <w:color w:val="1F1F1F"/>
          <w:sz w:val="22"/>
          <w:szCs w:val="22"/>
        </w:rPr>
        <w:t xml:space="preserve">4.3. Étape 3 — Identification des bénéficiaires effectifs</w:t>
      </w:r>
    </w:p>
    <w:p>
      <w:pPr>
        <w:spacing w:before="60" w:after="0"/>
      </w:pPr>
    </w:p>
    <w:p>
      <w:pPr>
        <w:spacing w:before="60" w:after="80"/>
      </w:pPr>
      <w:r>
        <w:rPr>
          <w:rFonts w:ascii="Calibri" w:cs="Calibri" w:eastAsia="Calibri" w:hAnsi="Calibri"/>
          <w:color w:val="1F1F1F"/>
          <w:sz w:val="22"/>
          <w:szCs w:val="22"/>
        </w:rPr>
        <w:t xml:space="preserve">Appliquer intégralement la procédure EB-UBO-001 pour identifier les personnes physiques qui contrôlent in fine la PM (seuil &gt; 25% ou contrôle par autres moyens).</w:t>
      </w:r>
    </w:p>
    <w:p>
      <w:pPr>
        <w:spacing w:before="60" w:after="0"/>
      </w:pPr>
    </w:p>
    <w:p>
      <w:pPr>
        <w:spacing w:before="60" w:after="80"/>
      </w:pPr>
      <w:r>
        <w:rPr>
          <w:rFonts w:ascii="Calibri" w:cs="Calibri" w:eastAsia="Calibri" w:hAnsi="Calibri"/>
          <w:color w:val="1F1F1F"/>
          <w:sz w:val="22"/>
          <w:szCs w:val="22"/>
        </w:rPr>
        <w:t xml:space="preserve">La procédure de KYC PM ne peut pas être finalisée sans identification complète des BE.</w:t>
      </w: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spacing w:before="60" w:after="80"/>
      </w:pPr>
      <w:r>
        <w:rPr>
          <w:rFonts w:ascii="Calibri" w:cs="Calibri" w:eastAsia="Calibri" w:hAnsi="Calibri"/>
          <w:color w:val="1F1F1F"/>
          <w:sz w:val="22"/>
          <w:szCs w:val="22"/>
        </w:rPr>
        <w:t xml:space="preserve">◆ GATE : BE identifiés et documentés selon EB-UBO-001 ? OUI → Étape 4 | NON → Blocage — compléter EB-UBO-001</w:t>
      </w: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pStyle w:val="Heading3"/>
        <w:spacing w:before="180" w:after="80"/>
      </w:pPr>
      <w:r>
        <w:rPr>
          <w:rFonts w:ascii="Calibri" w:cs="Calibri" w:eastAsia="Calibri" w:hAnsi="Calibri"/>
          <w:b/>
          <w:bCs/>
          <w:color w:val="1F1F1F"/>
          <w:sz w:val="22"/>
          <w:szCs w:val="22"/>
        </w:rPr>
        <w:t xml:space="preserve">4.4. Étape 4 — Qualification économique</w:t>
      </w:r>
    </w:p>
    <w:p>
      <w:pPr>
        <w:spacing w:before="60" w:after="0"/>
      </w:pPr>
    </w:p>
    <w:p>
      <w:pPr>
        <w:spacing w:before="60" w:after="80"/>
      </w:pPr>
      <w:r>
        <w:rPr>
          <w:rFonts w:ascii="Calibri" w:cs="Calibri" w:eastAsia="Calibri" w:hAnsi="Calibri"/>
          <w:color w:val="1F1F1F"/>
          <w:sz w:val="22"/>
          <w:szCs w:val="22"/>
        </w:rPr>
        <w:t xml:space="preserve">Informations à collecter</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Information</w:t>
            </w:r>
          </w:p>
        </w:tc>
        <w:tc>
          <w:tcPr>
            <w:tcW w:type="dxa" w:w="58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Caractère</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Activité réelle (au-delà de l'objet</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social déclaré)</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Chiffre d'affaires et effectifs</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Pays d'activité principaux</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Objet de la relation (services</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attendus, nature des opérations)</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Volume et nature des flux attendus</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Origine des fonds</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 si montant significatif</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Groupe d'appartenance et structure</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 si</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mère</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holding / filiale</w:t>
            </w:r>
          </w:p>
        </w:tc>
      </w:tr>
    </w:tbl>
    <w:p>
      <w:pPr>
        <w:spacing w:before="100" w:after="0"/>
      </w:pPr>
    </w:p>
    <w:p>
      <w:pPr>
        <w:spacing w:before="60" w:after="80"/>
      </w:pPr>
      <w:r>
        <w:rPr>
          <w:rFonts w:ascii="Calibri" w:cs="Calibri" w:eastAsia="Calibri" w:hAnsi="Calibri"/>
          <w:color w:val="1F1F1F"/>
          <w:sz w:val="22"/>
          <w:szCs w:val="22"/>
        </w:rPr>
        <w:t xml:space="preserve">Déclencheurs d'EDD à détecter</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Entité domiciliée ou opérant dans un pays tiers à haut risque → EB-EDD-001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Structure complexe ou opaque (holdings en cascade, juridictions offshore) → EB-EDD-001 + EB-UBO-001 renforcé</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Secteur d'activité à risque élevé (armement, jeux, immobilier, crypto non régulé) → classification risque élevé</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BE PPE ou apparenté → EB-EDD-001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Filiale ou entité d'un groupe sous sanctions → EB-SCR-001 renforcé</w:t>
      </w: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spacing w:before="60" w:after="80"/>
      </w:pPr>
      <w:r>
        <w:rPr>
          <w:rFonts w:ascii="Calibri" w:cs="Calibri" w:eastAsia="Calibri" w:hAnsi="Calibri"/>
          <w:color w:val="1F1F1F"/>
          <w:sz w:val="22"/>
          <w:szCs w:val="22"/>
        </w:rPr>
        <w:t xml:space="preserve">◆ GATE : Profil économique cohérent avec l'activité déclarée ? OUI → Étape 5 | NON → Demande de complément ou refus</w:t>
      </w: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pStyle w:val="Heading3"/>
        <w:spacing w:before="180" w:after="80"/>
      </w:pPr>
      <w:r>
        <w:rPr>
          <w:rFonts w:ascii="Calibri" w:cs="Calibri" w:eastAsia="Calibri" w:hAnsi="Calibri"/>
          <w:b/>
          <w:bCs/>
          <w:color w:val="1F1F1F"/>
          <w:sz w:val="22"/>
          <w:szCs w:val="22"/>
        </w:rPr>
        <w:t xml:space="preserve">4.5. Étape 5 — Criblage initial</w:t>
      </w:r>
    </w:p>
    <w:p>
      <w:pPr>
        <w:spacing w:before="60" w:after="0"/>
      </w:pPr>
    </w:p>
    <w:p>
      <w:pPr>
        <w:spacing w:before="60" w:after="80"/>
      </w:pPr>
      <w:r>
        <w:rPr>
          <w:rFonts w:ascii="Calibri" w:cs="Calibri" w:eastAsia="Calibri" w:hAnsi="Calibri"/>
          <w:color w:val="1F1F1F"/>
          <w:sz w:val="22"/>
          <w:szCs w:val="22"/>
        </w:rPr>
        <w:t xml:space="preserve">Cribler systématiquement :</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L'entité PM elle-même → EB-SCR-001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Chaque représentant légal → EB-SCR-001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Chaque bénéficiaire effectif → EB-SCR-001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Adverse media sur l'entité et ses dirigeants → EB-SCR-002</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Résultat criblage</w:t>
            </w:r>
          </w:p>
        </w:tc>
        <w:tc>
          <w:tcPr>
            <w:tcW w:type="dxa" w:w="58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Action</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Aucun match</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Étape 6 — Décision</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Faux positif documenté</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Étape 6 — Décision</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Entité sous sanctions</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Refus + EB-GEL-001 + évaluation EB-TRC-001</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RL ou BE PPE confirmé</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Activer EB-EDD-001 avant décision</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Adverse media significatif</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Escalade compliance + évaluation EDD/refus</w:t>
            </w:r>
          </w:p>
        </w:tc>
      </w:tr>
    </w:tbl>
    <w:p>
      <w:pPr>
        <w:spacing w:before="100" w:after="0"/>
      </w:pPr>
    </w:p>
    <w:p>
      <w:pPr>
        <w:spacing w:before="60" w:after="80"/>
      </w:pPr>
      <w:r>
        <w:rPr>
          <w:rFonts w:ascii="Calibri" w:cs="Calibri" w:eastAsia="Calibri" w:hAnsi="Calibri"/>
          <w:color w:val="1F1F1F"/>
          <w:sz w:val="22"/>
          <w:szCs w:val="22"/>
        </w:rPr>
        <w:t xml:space="preserve">▼</w:t>
      </w:r>
    </w:p>
    <w:p>
      <w:pPr>
        <w:spacing w:before="60" w:after="0"/>
      </w:pPr>
    </w:p>
    <w:p>
      <w:pPr>
        <w:spacing w:before="60" w:after="80"/>
      </w:pPr>
      <w:r>
        <w:rPr>
          <w:rFonts w:ascii="Calibri" w:cs="Calibri" w:eastAsia="Calibri" w:hAnsi="Calibri"/>
          <w:color w:val="1F1F1F"/>
          <w:sz w:val="22"/>
          <w:szCs w:val="22"/>
        </w:rPr>
        <w:t xml:space="preserve">◆ GATE : Criblage sans match bloquant ? OUI → Étape 6 | NON → Traitement selon tableau</w:t>
      </w: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pStyle w:val="Heading3"/>
        <w:spacing w:before="180" w:after="80"/>
      </w:pPr>
      <w:r>
        <w:rPr>
          <w:rFonts w:ascii="Calibri" w:cs="Calibri" w:eastAsia="Calibri" w:hAnsi="Calibri"/>
          <w:b/>
          <w:bCs/>
          <w:color w:val="1F1F1F"/>
          <w:sz w:val="22"/>
          <w:szCs w:val="22"/>
        </w:rPr>
        <w:t xml:space="preserve">4.6. Étape 6 — Décision d'acceptation et documentation</w:t>
      </w:r>
    </w:p>
    <w:p>
      <w:pPr>
        <w:spacing w:before="60" w:after="0"/>
      </w:pPr>
    </w:p>
    <w:p>
      <w:pPr>
        <w:spacing w:before="60" w:after="80"/>
      </w:pPr>
      <w:r>
        <w:rPr>
          <w:rFonts w:ascii="Calibri" w:cs="Calibri" w:eastAsia="Calibri" w:hAnsi="Calibri"/>
          <w:color w:val="1F1F1F"/>
          <w:sz w:val="22"/>
          <w:szCs w:val="22"/>
        </w:rPr>
        <w:t xml:space="preserve">Matrice de décision</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400"/>
      </w:tblGrid>
      <w:tr>
        <w:tc>
          <w:tcPr>
            <w:tcW w:type="dxa" w:w="22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Situation</w:t>
            </w:r>
          </w:p>
        </w:tc>
        <w:tc>
          <w:tcPr>
            <w:tcW w:type="dxa" w:w="46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Décision</w:t>
            </w:r>
          </w:p>
        </w:tc>
        <w:tc>
          <w:tcPr>
            <w:tcW w:type="dxa" w:w="2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Niveau d'approbation</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Profil standard, criblage négatif</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Acceptation</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Responsable relation</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Profil risque élevé, EDD complétée</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Acceptation</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Responsable conformité</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BE PPE avec EDD validée</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Acceptation</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Direction générale</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Structure opaque non clarifiée</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Refus</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Responsable conformité</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Match sanctions ou BE introuvable</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Refus</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Responsable conformité</w:t>
            </w:r>
          </w:p>
        </w:tc>
      </w:tr>
    </w:tbl>
    <w:p>
      <w:pPr>
        <w:spacing w:before="100" w:after="0"/>
      </w:pPr>
    </w:p>
    <w:p>
      <w:pPr>
        <w:spacing w:before="60" w:after="80"/>
      </w:pPr>
      <w:r>
        <w:rPr>
          <w:rFonts w:ascii="Calibri" w:cs="Calibri" w:eastAsia="Calibri" w:hAnsi="Calibri"/>
          <w:color w:val="1F1F1F"/>
          <w:sz w:val="22"/>
          <w:szCs w:val="22"/>
        </w:rPr>
        <w:t xml:space="preserve">Contenu obligatoire du dossier PM</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Extrait Kbis ou registre officiel &lt; 3 mois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Statuts (version en vigueur)</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Documents habilitation RL + pièces d'identité de chaque RL</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Dossier UBO complet (EB-UBO-001)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Formulaire de qualification économique complété</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Rapports de criblage horodatés (entité + RL + BE)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Évaluation du niveau de risque initial</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Décision d'acceptation signée avec niveau d'approbation et date</w:t>
      </w: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5 — Cas particuliers</w:t>
      </w:r>
    </w:p>
    <w:p>
      <w:pPr>
        <w:spacing w:before="60" w:after="0"/>
      </w:pPr>
    </w:p>
    <w:p>
      <w:pPr>
        <w:pStyle w:val="Heading3"/>
        <w:spacing w:before="180" w:after="80"/>
      </w:pPr>
      <w:r>
        <w:rPr>
          <w:rFonts w:ascii="Calibri" w:cs="Calibri" w:eastAsia="Calibri" w:hAnsi="Calibri"/>
          <w:b/>
          <w:bCs/>
          <w:color w:val="1F1F1F"/>
          <w:sz w:val="22"/>
          <w:szCs w:val="22"/>
        </w:rPr>
        <w:t xml:space="preserve">5.1. Holding et structures en cascade</w:t>
      </w:r>
    </w:p>
    <w:p>
      <w:pPr>
        <w:spacing w:before="60" w:after="0"/>
      </w:pPr>
    </w:p>
    <w:p>
      <w:pPr>
        <w:spacing w:before="60" w:after="80"/>
      </w:pPr>
      <w:r>
        <w:rPr>
          <w:rFonts w:ascii="Calibri" w:cs="Calibri" w:eastAsia="Calibri" w:hAnsi="Calibri"/>
          <w:color w:val="1F1F1F"/>
          <w:sz w:val="22"/>
          <w:szCs w:val="22"/>
        </w:rPr>
        <w:t xml:space="preserve">Si la PM est elle-même détenue par une ou plusieurs PM intermédiaires, remonter la chaîne de détention jusqu'aux personnes physiques BE. Appliquer EB-UBO-001 pour chaque niveau. La complexité de la structure est en soi un facteur de risque à documenter.</w:t>
      </w:r>
    </w:p>
    <w:p>
      <w:pPr>
        <w:spacing w:before="60" w:after="0"/>
      </w:pPr>
    </w:p>
    <w:p>
      <w:pPr>
        <w:pStyle w:val="Heading3"/>
        <w:spacing w:before="180" w:after="80"/>
      </w:pPr>
      <w:r>
        <w:rPr>
          <w:rFonts w:ascii="Calibri" w:cs="Calibri" w:eastAsia="Calibri" w:hAnsi="Calibri"/>
          <w:b/>
          <w:bCs/>
          <w:color w:val="1F1F1F"/>
          <w:sz w:val="22"/>
          <w:szCs w:val="22"/>
        </w:rPr>
        <w:t xml:space="preserve">5.2. Entités étrangères hors UE/EEE</w:t>
      </w:r>
    </w:p>
    <w:p>
      <w:pPr>
        <w:spacing w:before="60" w:after="0"/>
      </w:pPr>
    </w:p>
    <w:p>
      <w:pPr>
        <w:spacing w:before="60" w:after="80"/>
      </w:pPr>
      <w:r>
        <w:rPr>
          <w:rFonts w:ascii="Calibri" w:cs="Calibri" w:eastAsia="Calibri" w:hAnsi="Calibri"/>
          <w:color w:val="1F1F1F"/>
          <w:sz w:val="22"/>
          <w:szCs w:val="22"/>
        </w:rPr>
        <w:t xml:space="preserve">Les registres de certains pays ne sont pas publics ou sont peu fiables. En l'absence de registre officiel vérifiable, recourir à des sources alternatives fiables (rapport d'un tiers indépendant, certificat de constitution légalisé, apostille). Si identification impossible → refus.</w:t>
      </w:r>
    </w:p>
    <w:p>
      <w:pPr>
        <w:spacing w:before="60" w:after="0"/>
      </w:pPr>
    </w:p>
    <w:p>
      <w:pPr>
        <w:pStyle w:val="Heading3"/>
        <w:spacing w:before="180" w:after="80"/>
      </w:pPr>
      <w:r>
        <w:rPr>
          <w:rFonts w:ascii="Calibri" w:cs="Calibri" w:eastAsia="Calibri" w:hAnsi="Calibri"/>
          <w:b/>
          <w:bCs/>
          <w:color w:val="1F1F1F"/>
          <w:sz w:val="22"/>
          <w:szCs w:val="22"/>
        </w:rPr>
        <w:t xml:space="preserve">5.3. Associations et fondations</w:t>
      </w:r>
    </w:p>
    <w:p>
      <w:pPr>
        <w:spacing w:before="60" w:after="0"/>
      </w:pPr>
    </w:p>
    <w:p>
      <w:pPr>
        <w:spacing w:before="60" w:after="80"/>
      </w:pPr>
      <w:r>
        <w:rPr>
          <w:rFonts w:ascii="Calibri" w:cs="Calibri" w:eastAsia="Calibri" w:hAnsi="Calibri"/>
          <w:color w:val="1F1F1F"/>
          <w:sz w:val="22"/>
          <w:szCs w:val="22"/>
        </w:rPr>
        <w:t xml:space="preserve">L'identification du BE suit R.561-3 CMF : personnes qui contrôlent l'association (bureau exécutif, conseil d'administration si pouvoir de contrôle). À défaut : le représentant légal (président) est identifié comme BE par défaut.</w:t>
      </w:r>
    </w:p>
    <w:p>
      <w:pPr>
        <w:spacing w:before="60" w:after="0"/>
      </w:pPr>
    </w:p>
    <w:p>
      <w:pPr>
        <w:pStyle w:val="Heading3"/>
        <w:spacing w:before="180" w:after="80"/>
      </w:pPr>
      <w:r>
        <w:rPr>
          <w:rFonts w:ascii="Calibri" w:cs="Calibri" w:eastAsia="Calibri" w:hAnsi="Calibri"/>
          <w:b/>
          <w:bCs/>
          <w:color w:val="1F1F1F"/>
          <w:sz w:val="22"/>
          <w:szCs w:val="22"/>
        </w:rPr>
        <w:t xml:space="preserve">5.4. Entité en création (pas encore immatriculée)</w:t>
      </w:r>
    </w:p>
    <w:p>
      <w:pPr>
        <w:spacing w:before="60" w:after="0"/>
      </w:pPr>
    </w:p>
    <w:p>
      <w:pPr>
        <w:spacing w:before="60" w:after="80"/>
      </w:pPr>
      <w:r>
        <w:rPr>
          <w:rFonts w:ascii="Calibri" w:cs="Calibri" w:eastAsia="Calibri" w:hAnsi="Calibri"/>
          <w:color w:val="1F1F1F"/>
          <w:sz w:val="22"/>
          <w:szCs w:val="22"/>
        </w:rPr>
        <w:t xml:space="preserve">La vérification de l'identité PM via registre officiel n'est possible qu'après immatriculation. Ne pas ouvrir de compte au nom d'une entité non encore constituée (compte professionnel). Option : compte personnel du futur dirigeant en attendant, ou vérification post-constitution sous R.561-10.</w:t>
      </w: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6 — Vigilance constante et mise à jour du dossier</w:t>
      </w:r>
    </w:p>
    <w:p>
      <w:pPr>
        <w:spacing w:before="60" w:after="0"/>
      </w:pPr>
    </w:p>
    <w:p>
      <w:pPr>
        <w:spacing w:before="60" w:after="80"/>
      </w:pPr>
      <w:r>
        <w:rPr>
          <w:rFonts w:ascii="Calibri" w:cs="Calibri" w:eastAsia="Calibri" w:hAnsi="Calibri"/>
          <w:color w:val="1F1F1F"/>
          <w:sz w:val="22"/>
          <w:szCs w:val="22"/>
        </w:rPr>
        <w:t xml:space="preserve">Mettre à jour le dossier PM lors de :</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Changement de dirigeant ou de représentant légal</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Modification significative de l'actionnariat (cession de parts, entrée d'un nouveau BE)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Changement d'activité ou d'adresse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Renouvellement périodique selon le niveau de risque (standard : 2-3 ans / élevé : 1 an)</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Tout événement déclencheur (opération inhabituelle, presse négative)</w:t>
      </w: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7 — Indicateurs de contrôle</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400"/>
      </w:tblGrid>
      <w:tr>
        <w:tc>
          <w:tcPr>
            <w:tcW w:type="dxa" w:w="22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Indicateur</w:t>
            </w:r>
          </w:p>
        </w:tc>
        <w:tc>
          <w:tcPr>
            <w:tcW w:type="dxa" w:w="46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Cible</w:t>
            </w:r>
          </w:p>
        </w:tc>
        <w:tc>
          <w:tcPr>
            <w:tcW w:type="dxa" w:w="2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 Fréquence</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Taux de dossiers PM complets à l'ouvertur</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100%</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Mensuelle</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Taux de dossiers UBO complétés</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100%</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Mensuelle</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Criblage RL + BE effectué avant ouverture</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100%</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Mensuelle</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Dossiers en retard de revue périodique</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&lt; 5%</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Trimestrielle</w:t>
            </w:r>
          </w:p>
        </w:tc>
      </w:tr>
    </w:tbl>
    <w:p>
      <w:pPr>
        <w:spacing w:before="100" w:after="0"/>
      </w:pPr>
    </w:p>
    <w:p>
      <w:pPr>
        <w:spacing w:before="60" w:after="0"/>
      </w:pPr>
    </w:p>
    <w:p>
      <w:pPr>
        <w:pStyle w:val="Heading2"/>
        <w:spacing w:before="240" w:after="100"/>
      </w:pPr>
      <w:r>
        <w:rPr>
          <w:rFonts w:ascii="Calibri" w:cs="Calibri" w:eastAsia="Calibri" w:hAnsi="Calibri"/>
          <w:b/>
          <w:bCs/>
          <w:color w:val="000000"/>
          <w:sz w:val="24"/>
          <w:szCs w:val="24"/>
        </w:rPr>
        <w:t xml:space="preserve">8 — Documents associés</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Document</w:t>
            </w:r>
          </w:p>
        </w:tc>
        <w:tc>
          <w:tcPr>
            <w:tcW w:type="dxa" w:w="58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Référence</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Entrée en relation — Personne physique</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EB-KYC-001</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Identification bénéficiaire effectif</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EB-UBO-001</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Vigilance renforcée (EDD)</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EB-EDD-001</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Criblage sanctions et PPE</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EB-SCR-001</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Adverse media</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EB-SCR-002</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Gel des avoirs</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EB-GEL-001</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Correspondance bancaire</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EB-CBK-001</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Agents et distributeurs</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EB-AGT-001</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Déclaration de soupçon Tracfin</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EB-TRC-001</w:t>
            </w:r>
          </w:p>
        </w:tc>
      </w:tr>
    </w:tbl>
    <w:p>
      <w:pPr>
        <w:spacing w:before="100" w:after="0"/>
      </w:pPr>
    </w:p>
    <w:p>
      <w:pPr>
        <w:spacing w:before="60" w:after="0"/>
      </w:pPr>
    </w:p>
    <w:p>
      <w:pPr>
        <w:spacing w:before="60" w:after="80"/>
      </w:pPr>
      <w:r>
        <w:rPr>
          <w:rFonts w:ascii="Calibri" w:cs="Calibri" w:eastAsia="Calibri" w:hAnsi="Calibri"/>
          <w:color w:val="1F1F1F"/>
          <w:sz w:val="22"/>
          <w:szCs w:val="22"/>
        </w:rPr>
        <w:t xml:space="preserve">*Document produit par Early Brief — Veille réglementaire augmentée*</w:t>
      </w:r>
    </w:p>
    <w:p>
      <w:pPr>
        <w:spacing w:before="60" w:after="80"/>
      </w:pPr>
      <w:r>
        <w:rPr>
          <w:rFonts w:ascii="Calibri" w:cs="Calibri" w:eastAsia="Calibri" w:hAnsi="Calibri"/>
          <w:color w:val="1F1F1F"/>
          <w:sz w:val="22"/>
          <w:szCs w:val="22"/>
        </w:rPr>
        <w:t xml:space="preserve">*Ce template est fourni à titre indicatif. Il doit être adapté au profil et aux activités de chaque établissement. Early Brief ne saurait être tenu responsable des décisions prises sur la base de ce document sans validation juridique préalable.*</w:t>
      </w:r>
    </w:p>
    <w:p>
      <w:pPr>
        <w:spacing w:before="60" w:after="0"/>
      </w:pPr>
    </w:p>
    <w:sectPr>
      <w:headerReference w:type="default" r:id="rId6"/>
      <w:footerReference w:type="default" r:id="rId7"/>
      <w:pgSz w:w="11906" w:h="16838" w:orient="portrait"/>
      <w:pgMar w:top="9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4" w:space="4"/>
      </w:pBdr>
      <w:spacing w:before="60" w:after="0"/>
    </w:pPr>
    <w:r>
      <w:rPr>
        <w:rFonts w:ascii="Calibri" w:cs="Calibri" w:eastAsia="Calibri" w:hAnsi="Calibri"/>
        <w:color w:val="A0A0A0"/>
        <w:sz w:val="16"/>
        <w:szCs w:val="16"/>
      </w:rPr>
      <w:t xml:space="preserve">EB-KYC-002-v1.0   —   Confidentiel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0C0" w:sz="4" w:space="4"/>
      </w:pBdr>
      <w:spacing w:before="0" w:after="60"/>
    </w:pPr>
    <w:r>
      <w:rPr>
        <w:rFonts w:ascii="Courier New" w:cs="Courier New" w:eastAsia="Courier New" w:hAnsi="Courier New"/>
        <w:color w:val="A0A0A0"/>
        <w:sz w:val="18"/>
        <w:szCs w:val="18"/>
      </w:rPr>
      <w:t xml:space="preserve">EB-KYC-002-v1.0</w:t>
    </w:r>
    <w:r>
      <w:rPr>
        <w:rFonts w:ascii="Calibri" w:cs="Calibri" w:eastAsia="Calibri" w:hAnsi="Calibri"/>
        <w:color w:val="A0A0A0"/>
        <w:sz w:val="18"/>
        <w:szCs w:val="18"/>
      </w:rPr>
      <w:t xml:space="preserve">   —   </w:t>
    </w:r>
    <w:r>
      <w:rPr>
        <w:rFonts w:ascii="Calibri" w:cs="Calibri" w:eastAsia="Calibri" w:hAnsi="Calibri"/>
        <w:color w:val="595959"/>
        <w:sz w:val="18"/>
        <w:szCs w:val="18"/>
      </w:rPr>
      <w:t xml:space="preserve">Entrée en relation — Personne morale (PM)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Calibri" w:cs="Calibri" w:eastAsia="Calibri" w:hAnsi="Calibri"/>
      <w:b/>
      <w:bCs/>
      <w:color w:val="000000"/>
      <w:sz w:val="30"/>
      <w:szCs w:val="30"/>
    </w:rPr>
  </w:style>
  <w:style w:type="paragraph" w:styleId="Heading2">
    <w:name w:val="Heading 2"/>
    <w:basedOn w:val="Normal"/>
    <w:next w:val="Normal"/>
    <w:qFormat/>
    <w:pPr>
      <w:spacing w:before="240" w:after="100"/>
      <w:outlineLvl w:val="1"/>
    </w:pPr>
    <w:rPr>
      <w:rFonts w:ascii="Calibri" w:cs="Calibri" w:eastAsia="Calibri" w:hAnsi="Calibri"/>
      <w:b/>
      <w:bCs/>
      <w:color w:val="000000"/>
      <w:sz w:val="24"/>
      <w:szCs w:val="24"/>
    </w:rPr>
  </w:style>
  <w:style w:type="paragraph" w:styleId="Heading3">
    <w:name w:val="Heading 3"/>
    <w:basedOn w:val="Normal"/>
    <w:next w:val="Normal"/>
    <w:qFormat/>
    <w:pPr>
      <w:spacing w:before="180" w:after="80"/>
      <w:outlineLvl w:val="2"/>
    </w:pPr>
    <w:rPr>
      <w:rFonts w:ascii="Calibri" w:cs="Calibri" w:eastAsia="Calibri" w:hAnsi="Calibri"/>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2026-04-10T16:44:31.247Z</dcterms:created>
  <dcterms:modified xsi:type="dcterms:W3CDTF">2026-04-10T16:44:31.247Z</dcterms:modified>
</cp:coreProperties>
</file>

<file path=docProps/custom.xml><?xml version="1.0" encoding="utf-8"?>
<Properties xmlns="http://schemas.openxmlformats.org/officeDocument/2006/custom-properties" xmlns:vt="http://schemas.openxmlformats.org/officeDocument/2006/docPropsVTypes"/>
</file>