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pPr>
      <w:r>
        <w:rPr>
          <w:rFonts w:ascii="Calibri" w:cs="Calibri" w:eastAsia="Calibri" w:hAnsi="Calibri"/>
          <w:b/>
          <w:bCs/>
          <w:color w:val="A0A0A0"/>
          <w:sz w:val="28"/>
          <w:szCs w:val="28"/>
        </w:rPr>
        <w:t xml:space="preserve">[NOM DE L'ÉTABLISSEMENT]</w:t>
      </w:r>
    </w:p>
    <w:p>
      <w:pPr>
        <w:spacing w:before="0" w:after="60"/>
      </w:pPr>
      <w:r>
        <w:rPr>
          <w:rFonts w:ascii="Calibri" w:cs="Calibri" w:eastAsia="Calibri" w:hAnsi="Calibri"/>
          <w:b/>
          <w:bCs/>
          <w:color w:val="000000"/>
          <w:sz w:val="40"/>
          <w:szCs w:val="40"/>
        </w:rPr>
        <w:t xml:space="preserve">Personnes politiquement exposées (PPE)</w:t>
      </w:r>
    </w:p>
    <w:p>
      <w:pPr>
        <w:spacing w:before="0" w:after="40"/>
      </w:pPr>
      <w:r>
        <w:rPr>
          <w:rFonts w:ascii="Calibri" w:cs="Calibri" w:eastAsia="Calibri" w:hAnsi="Calibri"/>
          <w:i/>
          <w:iCs/>
          <w:color w:val="595959"/>
          <w:sz w:val="22"/>
          <w:szCs w:val="22"/>
        </w:rPr>
        <w:t xml:space="preserve">Détection, mesures de vigilance complémentaires et documentation</w:t>
      </w:r>
    </w:p>
    <w:p>
      <w:pPr>
        <w:pBdr>
          <w:bottom w:val="single" w:color="C0C0C0" w:sz="6" w:space="4"/>
        </w:pBdr>
        <w:spacing w:before="0"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Champ</w:t>
            </w:r>
          </w:p>
        </w:tc>
        <w:tc>
          <w:tcPr>
            <w:tcW w:type="dxa" w:w="6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Valeur</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Référence</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EB-PEP-001-v1.0</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Version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Classification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Confidentiel — Usage interne</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Périmètre</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PPE, famille et personnes associées — Tous assujettis L.561-2 CMF</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Rédacteur</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[Nom]</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Approbateur</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[Responsable Conformité / RCCL]</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Date d'approbation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Prochaine révision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 + 12 mois]</w:t>
            </w:r>
          </w:p>
        </w:tc>
      </w:tr>
    </w:tbl>
    <w:p>
      <w:pPr>
        <w:spacing w:before="160" w:after="0"/>
      </w:pPr>
    </w:p>
    <w:p>
      <w:pPr>
        <w:pStyle w:val="Heading2"/>
        <w:spacing w:before="240" w:after="100"/>
      </w:pPr>
      <w:r>
        <w:rPr>
          <w:rFonts w:ascii="Calibri" w:cs="Calibri" w:eastAsia="Calibri" w:hAnsi="Calibri"/>
          <w:b/>
          <w:bCs/>
          <w:color w:val="000000"/>
          <w:sz w:val="24"/>
          <w:szCs w:val="24"/>
        </w:rPr>
        <w:t xml:space="preserve">Historique des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000"/>
      </w:tblGrid>
      <w:tr>
        <w:tc>
          <w:tcPr>
            <w:tcW w:type="dxa" w:w="1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Version</w:t>
            </w:r>
          </w:p>
        </w:tc>
        <w:tc>
          <w:tcPr>
            <w:tcW w:type="dxa" w:w="14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Date</w:t>
            </w:r>
          </w:p>
        </w:tc>
        <w:tc>
          <w:tcPr>
            <w:tcW w:type="dxa" w:w="16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Auteur</w:t>
            </w:r>
          </w:p>
        </w:tc>
        <w:tc>
          <w:tcPr>
            <w:tcW w:type="dxa" w:w="5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Modifications</w:t>
            </w:r>
          </w:p>
        </w:tc>
      </w:tr>
      <w:tr>
        <w:tc>
          <w:tcPr>
            <w:tcW w:type="dxa" w:w="1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Avril 2026</w:t>
            </w:r>
          </w:p>
        </w:tc>
        <w:tc>
          <w:tcPr>
            <w:tcW w:type="dxa" w:w="1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Early Brief</w:t>
            </w:r>
          </w:p>
        </w:tc>
        <w:tc>
          <w:tcPr>
            <w:tcW w:type="dxa" w:w="5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Création — procédure PPE dédiée (découplée de EB-SCR-001)</w:t>
            </w:r>
          </w:p>
        </w:tc>
      </w:tr>
    </w:tbl>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EBEBEB" w:val="clear"/>
            <w:tcMar>
              <w:top w:type="dxa" w:w="80"/>
              <w:left w:type="dxa" w:w="160"/>
              <w:bottom w:type="dxa" w:w="40"/>
              <w:right w:type="dxa" w:w="160"/>
            </w:tcMar>
          </w:tcPr>
          <w:p>
            <w:r>
              <w:rPr>
                <w:rFonts w:ascii="Calibri" w:cs="Calibri" w:eastAsia="Calibri" w:hAnsi="Calibri"/>
                <w:b/>
                <w:bCs/>
                <w:color w:val="1F1F1F"/>
                <w:sz w:val="20"/>
                <w:szCs w:val="20"/>
              </w:rPr>
              <w:t xml:space="preserve">✅  Vérification — sources</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R.561-18 CMF vérifié sur legifrance.gouv.fr</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Arrêté du 17 mars 2023 (fonctions nationales PPE) vérifié</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Vérifier : acpr.banque-france.fr — legifrance.gouv.fr</w:t>
            </w:r>
          </w:p>
        </w:tc>
      </w:tr>
      <w:tr>
        <w:tc>
          <w:tcPr>
            <w:tcW w:type="dxa" w:w="9200"/>
            <w:tcBorders>
              <w:top w:val="single" w:color="C0C0C0" w:sz="4"/>
              <w:left w:val="single" w:color="C0C0C0" w:sz="4"/>
              <w:bottom w:val="single" w:color="C0C0C0" w:sz="4"/>
              <w:right w:val="single" w:color="C0C0C0" w:sz="4"/>
            </w:tcBorders>
            <w:shd w:fill="EBEBEB" w:val="clear"/>
            <w:tcMar>
              <w:top w:type="dxa" w:w="2"/>
              <w:bottom w:type="dxa" w:w="2"/>
            </w:tcMar>
          </w:tcPr>
          <w:p/>
        </w:tc>
      </w:tr>
    </w:tbl>
    <w:p>
      <w:pPr>
        <w:spacing w:before="200" w:after="0"/>
      </w:pPr>
    </w:p>
    <w:p>
      <w:pPr>
        <w:pStyle w:val="Heading2"/>
        <w:spacing w:before="240" w:after="100"/>
      </w:pPr>
      <w:r>
        <w:rPr>
          <w:rFonts w:ascii="Calibri" w:cs="Calibri" w:eastAsia="Calibri" w:hAnsi="Calibri"/>
          <w:b/>
          <w:bCs/>
          <w:color w:val="000000"/>
          <w:sz w:val="24"/>
          <w:szCs w:val="24"/>
        </w:rPr>
        <w:t xml:space="preserve">1 — Objet et périmètre</w:t>
      </w:r>
    </w:p>
    <w:p>
      <w:pPr>
        <w:spacing w:before="60" w:after="0"/>
      </w:pPr>
    </w:p>
    <w:p>
      <w:pPr>
        <w:spacing w:before="60" w:after="80"/>
      </w:pPr>
      <w:r>
        <w:rPr>
          <w:rFonts w:ascii="Calibri" w:cs="Calibri" w:eastAsia="Calibri" w:hAnsi="Calibri"/>
          <w:color w:val="1F1F1F"/>
          <w:sz w:val="22"/>
          <w:szCs w:val="22"/>
        </w:rPr>
        <w:t xml:space="preserve">Cette procédure définit le cadre de détection, de traitement et de surveillance des personnes politiquement exposées (PPE), des membres de leur famille et des personnes qui leur sont étroitement associées. Elle constitue une procédure dédiée, complémentaire au criblage général (EB-SCR-001) et à la vigilance renforcée (EB-EDD-001).</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L.561-10, 1° CMF — Mesures de vigilance complémentaires applicables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aux PPE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R.561-18 CMF — Définition des PPE : I (fonctions), II (famille),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III (personnes étroitement associées)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R.561-20-2 CMF — Mesures complémentaires PPE : autorisation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hiérarchique, origine patrimoine et fonds, vigilance renforcée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R.561-20-4 CMF — PPE nationales et organisations internationales :</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évaluation du risque → si élevé, appliquer R.561-20-2</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Arrêté du 17 mars 2023 — Liste des fonctions nationales PPE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L.561-10, II CMF — PPE nationales et organisations internationales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soumises aux mêmes mesures si risque élevé évalué</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CONVENTION DE LECTURE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 document contient des Notes Early Brief. Elles apportent un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éclairage opérationnel issu de la veille réglementaire Early Brief.</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Elles ne modifient pas les obligations légales. L'acheteur peut 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supprimer sans impact sur la conformité du document.</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Point de vigilance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PRINCIPE FONDAMENTAL</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Le statut PPE n'est PAS une interdiction de relation d'affaires.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C'est un déclencheur de vigilance renforcée.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Une relation avec une PPE est possible — à condition d'obtenir</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l'autorisation hiérarchique requise, de comprendre l'origine des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fonds et d'exercer une surveillance renforcée continue.</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pStyle w:val="Heading3"/>
        <w:spacing w:before="180" w:after="80"/>
      </w:pPr>
      <w:r>
        <w:rPr>
          <w:rFonts w:ascii="Calibri" w:cs="Calibri" w:eastAsia="Calibri" w:hAnsi="Calibri"/>
          <w:b/>
          <w:bCs/>
          <w:color w:val="1F1F1F"/>
          <w:sz w:val="22"/>
          <w:szCs w:val="22"/>
        </w:rPr>
        <w:t xml:space="preserve">1.1. Ce que couvre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Définition précise des PPE, membres de famille et personnes associées (R.561-18)</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Méthodes de détection : criblage, déclaration client, sources ouvertes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Mesures obligatoires à l'entrée en relation : autorisation, origine patrimoine et fonds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Surveillance continue renforcée tout au long de la relation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Cas de la PPE en post-cessation de fonctions (période de vigilance maintenue)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PPE nationales et organisations internationales (R.561-20-4)</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Documentation et traçabilité de toutes les décisions</w:t>
      </w:r>
    </w:p>
    <w:p>
      <w:pPr>
        <w:spacing w:before="60" w:after="0"/>
      </w:pPr>
    </w:p>
    <w:p>
      <w:pPr>
        <w:pStyle w:val="Heading3"/>
        <w:spacing w:before="180" w:after="80"/>
      </w:pPr>
      <w:r>
        <w:rPr>
          <w:rFonts w:ascii="Calibri" w:cs="Calibri" w:eastAsia="Calibri" w:hAnsi="Calibri"/>
          <w:b/>
          <w:bCs/>
          <w:color w:val="1F1F1F"/>
          <w:sz w:val="22"/>
          <w:szCs w:val="22"/>
        </w:rPr>
        <w:t xml:space="preserve">1.2. Ce que ne couvre pas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Criblage général sanctions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Adverse media → EB-SCR-002</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Gel des avoirs (si PPE sous sanctions) → EB-GEL-001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Déclaration de soupçon → EB-TRC-001</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2 — Définitions (R.561-18 CMF)</w:t>
      </w:r>
    </w:p>
    <w:p>
      <w:pPr>
        <w:spacing w:before="60" w:after="0"/>
      </w:pPr>
    </w:p>
    <w:p>
      <w:pPr>
        <w:pStyle w:val="Heading3"/>
        <w:spacing w:before="180" w:after="80"/>
      </w:pPr>
      <w:r>
        <w:rPr>
          <w:rFonts w:ascii="Calibri" w:cs="Calibri" w:eastAsia="Calibri" w:hAnsi="Calibri"/>
          <w:b/>
          <w:bCs/>
          <w:color w:val="1F1F1F"/>
          <w:sz w:val="22"/>
          <w:szCs w:val="22"/>
        </w:rPr>
        <w:t xml:space="preserve">2.1. PPE — Fonctions (R.561-18, I CMF)</w:t>
      </w:r>
    </w:p>
    <w:p>
      <w:pPr>
        <w:spacing w:before="60" w:after="0"/>
      </w:pPr>
    </w:p>
    <w:p>
      <w:pPr>
        <w:spacing w:before="60" w:after="80"/>
      </w:pPr>
      <w:r>
        <w:rPr>
          <w:rFonts w:ascii="Calibri" w:cs="Calibri" w:eastAsia="Calibri" w:hAnsi="Calibri"/>
          <w:color w:val="1F1F1F"/>
          <w:sz w:val="22"/>
          <w:szCs w:val="22"/>
        </w:rPr>
        <w:t xml:space="preserve">Personnes physiques qui exercent ou ont exercé d'importantes fonctions publiques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Chefs d'État, chefs de gouvernement, ministres et secrétaires d'État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Parlementaires et membres d'organes législatifs similaires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Membres de cours suprêmes, cours constitutionnelles et autres hautes juridictions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Membres de cours des comptes et organes supérieurs de contrôle des finances publiques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Membres de conseils de banques centrales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Ambassadeurs, chargés d'affaires et officiers supérieurs des forces armées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Membres des organes d'administration, de direction ou de surveillance des entreprises publiques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Directeurs, directeurs adjoints et membres du conseil d'organisations internationales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PÉRIMÈTRE GÉOGRAPHIQUE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La définition PPE s'applique AUX FONCTIONS ÉTRANGÈRES ET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INTERNATIONALES sans restriction géographique.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Pour les fonctions NATIONALES françaises : l'arrêté du 17 mars 2023</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liste les fonctions concernées. En dehors de cette liste, 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fonctionnaires et élus locaux français ne sont pas PPE au sens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réglementaire — sauf évaluation du risque interne.</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pStyle w:val="Heading3"/>
        <w:spacing w:before="180" w:after="80"/>
      </w:pPr>
      <w:r>
        <w:rPr>
          <w:rFonts w:ascii="Calibri" w:cs="Calibri" w:eastAsia="Calibri" w:hAnsi="Calibri"/>
          <w:b/>
          <w:bCs/>
          <w:color w:val="1F1F1F"/>
          <w:sz w:val="22"/>
          <w:szCs w:val="22"/>
        </w:rPr>
        <w:t xml:space="preserve">2.2. Membres de la famille (R.561-18, II CMF)</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Le conjoint ou le partenaire assimilé au conjoint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Les enfants et leurs conjoints ou partenaires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Les parents (père et mère)</w:t>
      </w:r>
    </w:p>
    <w:p>
      <w:pPr>
        <w:spacing w:before="60" w:after="0"/>
      </w:pPr>
    </w:p>
    <w:p>
      <w:pPr>
        <w:pStyle w:val="Heading3"/>
        <w:spacing w:before="180" w:after="80"/>
      </w:pPr>
      <w:r>
        <w:rPr>
          <w:rFonts w:ascii="Calibri" w:cs="Calibri" w:eastAsia="Calibri" w:hAnsi="Calibri"/>
          <w:b/>
          <w:bCs/>
          <w:color w:val="1F1F1F"/>
          <w:sz w:val="22"/>
          <w:szCs w:val="22"/>
        </w:rPr>
        <w:t xml:space="preserve">2.3. Personnes étroitement associées (R.561-18, III CMF)</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Toute personne physique connue comme étant le bénéficiaire effectif conjoint d'entités juridiques ou de constructions juridiques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Toute personne physique connue comme entretenant des liens d'affaires étroits avec une PPE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Toute personne physique qui est le seul bénéficiaire effectif d'une entité ou construction juridique connue pour avoir été établie au profit d'une PPE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3 — Détection des PPE</w:t>
      </w:r>
    </w:p>
    <w:p>
      <w:pPr>
        <w:spacing w:before="60" w:after="0"/>
      </w:pPr>
    </w:p>
    <w:p>
      <w:pPr>
        <w:spacing w:before="60" w:after="80"/>
      </w:pPr>
      <w:r>
        <w:rPr>
          <w:rFonts w:ascii="Calibri" w:cs="Calibri" w:eastAsia="Calibri" w:hAnsi="Calibri"/>
          <w:color w:val="1F1F1F"/>
          <w:sz w:val="22"/>
          <w:szCs w:val="22"/>
        </w:rPr>
        <w:t xml:space="preserve">La détection des PPE repose sur plusieurs mécanismes complémentaires.</w:t>
      </w:r>
    </w:p>
    <w:p>
      <w:pPr>
        <w:spacing w:before="60" w:after="0"/>
      </w:pPr>
    </w:p>
    <w:p>
      <w:pPr>
        <w:pStyle w:val="Heading3"/>
        <w:spacing w:before="180" w:after="80"/>
      </w:pPr>
      <w:r>
        <w:rPr>
          <w:rFonts w:ascii="Calibri" w:cs="Calibri" w:eastAsia="Calibri" w:hAnsi="Calibri"/>
          <w:b/>
          <w:bCs/>
          <w:color w:val="1F1F1F"/>
          <w:sz w:val="22"/>
          <w:szCs w:val="22"/>
        </w:rPr>
        <w:t xml:space="preserve">3.1. Déclaration client</w:t>
      </w:r>
    </w:p>
    <w:p>
      <w:pPr>
        <w:spacing w:before="60" w:after="0"/>
      </w:pPr>
    </w:p>
    <w:p>
      <w:pPr>
        <w:spacing w:before="60" w:after="80"/>
      </w:pPr>
      <w:r>
        <w:rPr>
          <w:rFonts w:ascii="Calibri" w:cs="Calibri" w:eastAsia="Calibri" w:hAnsi="Calibri"/>
          <w:color w:val="1F1F1F"/>
          <w:sz w:val="22"/>
          <w:szCs w:val="22"/>
        </w:rPr>
        <w:t xml:space="preserve">Le questionnaire d'entrée en relation doit inclure une question explicite sur le statut PPE du client, de ses BE (PM), et de leurs proches. La déclaration client ne suffit pas — elle doit être recoupée.</w:t>
      </w:r>
    </w:p>
    <w:p>
      <w:pPr>
        <w:spacing w:before="60" w:after="0"/>
      </w:pPr>
    </w:p>
    <w:p>
      <w:pPr>
        <w:pStyle w:val="Heading3"/>
        <w:spacing w:before="180" w:after="80"/>
      </w:pPr>
      <w:r>
        <w:rPr>
          <w:rFonts w:ascii="Calibri" w:cs="Calibri" w:eastAsia="Calibri" w:hAnsi="Calibri"/>
          <w:b/>
          <w:bCs/>
          <w:color w:val="1F1F1F"/>
          <w:sz w:val="22"/>
          <w:szCs w:val="22"/>
        </w:rPr>
        <w:t xml:space="preserve">3.2. Criblage sur bases de données PPE</w:t>
      </w:r>
    </w:p>
    <w:p>
      <w:pPr>
        <w:spacing w:before="60" w:after="0"/>
      </w:pPr>
    </w:p>
    <w:p>
      <w:pPr>
        <w:spacing w:before="60" w:after="80"/>
      </w:pPr>
      <w:r>
        <w:rPr>
          <w:rFonts w:ascii="Calibri" w:cs="Calibri" w:eastAsia="Calibri" w:hAnsi="Calibri"/>
          <w:color w:val="1F1F1F"/>
          <w:sz w:val="22"/>
          <w:szCs w:val="22"/>
        </w:rPr>
        <w:t xml:space="preserve">Cribler systématiquement à l'entrée en relation ET de manière continue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Bases commerciales PPE (World-Check, Dow Jones, Refinitiv ou équivalent)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Arrêté du 17 mars 2023 pour les fonctions nationales françaises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Sources ouvertes (Journal Officiel, sites officiels des institutions)</w:t>
      </w:r>
    </w:p>
    <w:p>
      <w:pPr>
        <w:spacing w:before="60" w:after="0"/>
      </w:pPr>
    </w:p>
    <w:p>
      <w:pPr>
        <w:pStyle w:val="Heading3"/>
        <w:spacing w:before="180" w:after="80"/>
      </w:pPr>
      <w:r>
        <w:rPr>
          <w:rFonts w:ascii="Calibri" w:cs="Calibri" w:eastAsia="Calibri" w:hAnsi="Calibri"/>
          <w:b/>
          <w:bCs/>
          <w:color w:val="1F1F1F"/>
          <w:sz w:val="22"/>
          <w:szCs w:val="22"/>
        </w:rPr>
        <w:t xml:space="preserve">3.3. Sources ouvertes complémentaires</w:t>
      </w:r>
    </w:p>
    <w:p>
      <w:pPr>
        <w:spacing w:before="60" w:after="0"/>
      </w:pPr>
    </w:p>
    <w:p>
      <w:pPr>
        <w:spacing w:before="60" w:after="80"/>
      </w:pPr>
      <w:r>
        <w:rPr>
          <w:rFonts w:ascii="Calibri" w:cs="Calibri" w:eastAsia="Calibri" w:hAnsi="Calibri"/>
          <w:color w:val="1F1F1F"/>
          <w:sz w:val="22"/>
          <w:szCs w:val="22"/>
        </w:rPr>
        <w:t xml:space="preserve">En cas d'alerte ou de doute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Journal Officiel de la République française (legifrance.gouv.fr)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Sites officiels des institutions (assemblée nationale, sénat, gouvernement.fr)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Registre des représentants d'intérêts (HATVP)</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Presse nationale et internationale de référence</w:t>
      </w:r>
    </w:p>
    <w:p>
      <w:pPr>
        <w:spacing w:before="60" w:after="0"/>
      </w:pPr>
    </w:p>
    <w:p>
      <w:pPr>
        <w:pStyle w:val="Heading3"/>
        <w:spacing w:before="180" w:after="80"/>
      </w:pPr>
      <w:r>
        <w:rPr>
          <w:rFonts w:ascii="Calibri" w:cs="Calibri" w:eastAsia="Calibri" w:hAnsi="Calibri"/>
          <w:b/>
          <w:bCs/>
          <w:color w:val="1F1F1F"/>
          <w:sz w:val="22"/>
          <w:szCs w:val="22"/>
        </w:rPr>
        <w:t xml:space="preserve">3.4. Détection en cours de vie de la relation</w:t>
      </w:r>
    </w:p>
    <w:p>
      <w:pPr>
        <w:spacing w:before="60" w:after="0"/>
      </w:pPr>
    </w:p>
    <w:p>
      <w:pPr>
        <w:spacing w:before="60" w:after="80"/>
      </w:pPr>
      <w:r>
        <w:rPr>
          <w:rFonts w:ascii="Calibri" w:cs="Calibri" w:eastAsia="Calibri" w:hAnsi="Calibri"/>
          <w:color w:val="1F1F1F"/>
          <w:sz w:val="22"/>
          <w:szCs w:val="22"/>
        </w:rPr>
        <w:t xml:space="preserve">Un client peut devenir PPE en cours de relation (nomination à une fonction). Mécanismes de détection continue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Criblage périodique de la base clients sur bases PPE (fréquence selon niveau de risque)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Alertes presse / veille sur les clients à profil exposé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Déclaration spontanée attendue du client (à mentionner dans la convention de compte)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4 — Mesures applicables</w:t>
      </w:r>
    </w:p>
    <w:p>
      <w:pPr>
        <w:spacing w:before="60" w:after="0"/>
      </w:pPr>
    </w:p>
    <w:p>
      <w:pPr>
        <w:pStyle w:val="Heading3"/>
        <w:spacing w:before="180" w:after="80"/>
      </w:pPr>
      <w:r>
        <w:rPr>
          <w:rFonts w:ascii="Calibri" w:cs="Calibri" w:eastAsia="Calibri" w:hAnsi="Calibri"/>
          <w:b/>
          <w:bCs/>
          <w:color w:val="1F1F1F"/>
          <w:sz w:val="22"/>
          <w:szCs w:val="22"/>
        </w:rPr>
        <w:t xml:space="preserve">4.1. Mesures obligatoires à l'entrée en relation (R.561-20-2 CMF)</w:t>
      </w:r>
    </w:p>
    <w:p>
      <w:pPr>
        <w:spacing w:before="60" w:after="0"/>
      </w:pPr>
    </w:p>
    <w:p>
      <w:pPr>
        <w:spacing w:before="60" w:after="80"/>
      </w:pPr>
      <w:r>
        <w:rPr>
          <w:rFonts w:ascii="Calibri" w:cs="Calibri" w:eastAsia="Calibri" w:hAnsi="Calibri"/>
          <w:color w:val="1F1F1F"/>
          <w:sz w:val="22"/>
          <w:szCs w:val="22"/>
        </w:rPr>
        <w:t xml:space="preserve">Pour toute PPE étrangère ou internationale identifiée :</w:t>
      </w:r>
    </w:p>
    <w:p>
      <w:pPr>
        <w:spacing w:before="60" w:after="0"/>
      </w:pPr>
    </w:p>
    <w:p>
      <w:pPr>
        <w:spacing w:before="60" w:after="80"/>
      </w:pPr>
      <w:r>
        <w:rPr>
          <w:rFonts w:ascii="Calibri" w:cs="Calibri" w:eastAsia="Calibri" w:hAnsi="Calibri"/>
          <w:color w:val="1F1F1F"/>
          <w:sz w:val="22"/>
          <w:szCs w:val="22"/>
        </w:rPr>
        <w:t xml:space="preserve">Mesure 1 — Autorisation hiérarchique préalable</w:t>
      </w:r>
    </w:p>
    <w:p>
      <w:pPr>
        <w:spacing w:before="60" w:after="0"/>
      </w:pPr>
    </w:p>
    <w:p>
      <w:pPr>
        <w:spacing w:before="60" w:after="80"/>
      </w:pPr>
      <w:r>
        <w:rPr>
          <w:rFonts w:ascii="Calibri" w:cs="Calibri" w:eastAsia="Calibri" w:hAnsi="Calibri"/>
          <w:color w:val="1F1F1F"/>
          <w:sz w:val="22"/>
          <w:szCs w:val="22"/>
        </w:rPr>
        <w:t xml:space="preserve">L'entrée en relation avec une PPE doit être autorisée par un membre de la direction de l'établissement ou la personne déléguée à cet effet. L'autorisation doit être documentée et tracée au dossier.</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Type de PPE</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Niveau d'autorisation</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PPE étrangère ou internationale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Direction générale</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PPE nationale française (si risque élevé)</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Membre famille PPE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Personne étroitement associée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Responsable conformité</w:t>
            </w:r>
          </w:p>
        </w:tc>
      </w:tr>
    </w:tbl>
    <w:p>
      <w:pPr>
        <w:spacing w:before="100" w:after="0"/>
      </w:pPr>
    </w:p>
    <w:p>
      <w:pPr>
        <w:spacing w:before="60" w:after="80"/>
      </w:pPr>
      <w:r>
        <w:rPr>
          <w:rFonts w:ascii="Calibri" w:cs="Calibri" w:eastAsia="Calibri" w:hAnsi="Calibri"/>
          <w:color w:val="1F1F1F"/>
          <w:sz w:val="22"/>
          <w:szCs w:val="22"/>
        </w:rPr>
        <w:t xml:space="preserve">Mesure 2 — Origine du patrimoine et des fonds</w:t>
      </w:r>
    </w:p>
    <w:p>
      <w:pPr>
        <w:spacing w:before="60" w:after="0"/>
      </w:pPr>
    </w:p>
    <w:p>
      <w:pPr>
        <w:spacing w:before="60" w:after="80"/>
      </w:pPr>
      <w:r>
        <w:rPr>
          <w:rFonts w:ascii="Calibri" w:cs="Calibri" w:eastAsia="Calibri" w:hAnsi="Calibri"/>
          <w:color w:val="1F1F1F"/>
          <w:sz w:val="22"/>
          <w:szCs w:val="22"/>
        </w:rPr>
        <w:t xml:space="preserve">Collecter et vérifier (dans la mesure du possible) l'origine du patrimoine global du client et l'origine des fonds utilisés dans le cadre de la relation d'affaires. La cohérence entre le statut/parcours professionnel et le patrimoine déclaré doit être évaluée.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Déclaration client sur l'origine du patrimoine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Justificatifs si significatif (bulletins de salaire, actes de cession, donations...)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Cohérence avec les fonctions exercées et les rémunérations publiques connues</w:t>
      </w:r>
    </w:p>
    <w:p>
      <w:pPr>
        <w:spacing w:before="60" w:after="0"/>
      </w:pPr>
    </w:p>
    <w:p>
      <w:pPr>
        <w:spacing w:before="60" w:after="80"/>
      </w:pPr>
      <w:r>
        <w:rPr>
          <w:rFonts w:ascii="Calibri" w:cs="Calibri" w:eastAsia="Calibri" w:hAnsi="Calibri"/>
          <w:color w:val="1F1F1F"/>
          <w:sz w:val="22"/>
          <w:szCs w:val="22"/>
        </w:rPr>
        <w:t xml:space="preserve">Mesure 3 — Vigilance renforcée continue</w:t>
      </w:r>
    </w:p>
    <w:p>
      <w:pPr>
        <w:spacing w:before="60" w:after="0"/>
      </w:pPr>
    </w:p>
    <w:p>
      <w:pPr>
        <w:spacing w:before="60" w:after="80"/>
      </w:pPr>
      <w:r>
        <w:rPr>
          <w:rFonts w:ascii="Calibri" w:cs="Calibri" w:eastAsia="Calibri" w:hAnsi="Calibri"/>
          <w:color w:val="1F1F1F"/>
          <w:sz w:val="22"/>
          <w:szCs w:val="22"/>
        </w:rPr>
        <w:t xml:space="preserve">Exercer une surveillance accrue et continue de la relation d'affaires. Fréquence de revue du dossier renforcée (au moins annuelle).</w:t>
      </w:r>
    </w:p>
    <w:p>
      <w:pPr>
        <w:spacing w:before="60" w:after="0"/>
      </w:pPr>
    </w:p>
    <w:p>
      <w:pPr>
        <w:pStyle w:val="Heading3"/>
        <w:spacing w:before="180" w:after="80"/>
      </w:pPr>
      <w:r>
        <w:rPr>
          <w:rFonts w:ascii="Calibri" w:cs="Calibri" w:eastAsia="Calibri" w:hAnsi="Calibri"/>
          <w:b/>
          <w:bCs/>
          <w:color w:val="1F1F1F"/>
          <w:sz w:val="22"/>
          <w:szCs w:val="22"/>
        </w:rPr>
        <w:t xml:space="preserve">4.2. PPE nationales et organisations internationales (R.561-20-4 CMF)</w:t>
      </w:r>
    </w:p>
    <w:p>
      <w:pPr>
        <w:spacing w:before="60" w:after="0"/>
      </w:pPr>
    </w:p>
    <w:p>
      <w:pPr>
        <w:spacing w:before="60" w:after="80"/>
      </w:pPr>
      <w:r>
        <w:rPr>
          <w:rFonts w:ascii="Calibri" w:cs="Calibri" w:eastAsia="Calibri" w:hAnsi="Calibri"/>
          <w:color w:val="1F1F1F"/>
          <w:sz w:val="22"/>
          <w:szCs w:val="22"/>
        </w:rPr>
        <w:t xml:space="preserve">Pour les PPE nationales françaises et les membres d'organisations internationales : évaluer le risque. Si le risque est élevé → appliquer les mêmes mesures que R.561-20-2.</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GRADATION DES MESURES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Une PPE n'est pas une PPE. Un ministre d'un pays à haut risque GAFI</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cumule les facteurs de risque et commande des mesures maximales.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 ancien élu local français dans une petite commune peut être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sorti des mesures PPE si l'évaluation du risque conclut à un niveau</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standard. Documenter le raisonnement dans tous les cas.</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5 — PPE en post-cessation de fonctions</w:t>
      </w:r>
    </w:p>
    <w:p>
      <w:pPr>
        <w:spacing w:before="60" w:after="0"/>
      </w:pPr>
    </w:p>
    <w:p>
      <w:pPr>
        <w:spacing w:before="60" w:after="80"/>
      </w:pPr>
      <w:r>
        <w:rPr>
          <w:rFonts w:ascii="Calibri" w:cs="Calibri" w:eastAsia="Calibri" w:hAnsi="Calibri"/>
          <w:color w:val="1F1F1F"/>
          <w:sz w:val="22"/>
          <w:szCs w:val="22"/>
        </w:rPr>
        <w:t xml:space="preserve">Le statut PPE ne cesse pas immédiatement à la fin des fonctions.</w:t>
      </w:r>
    </w:p>
    <w:p>
      <w:pPr>
        <w:spacing w:before="60" w:after="0"/>
      </w:pPr>
    </w:p>
    <w:p>
      <w:pPr>
        <w:spacing w:before="60" w:after="80"/>
      </w:pPr>
      <w:r>
        <w:rPr>
          <w:rFonts w:ascii="Calibri" w:cs="Calibri" w:eastAsia="Calibri" w:hAnsi="Calibri"/>
          <w:color w:val="1F1F1F"/>
          <w:sz w:val="22"/>
          <w:szCs w:val="22"/>
        </w:rPr>
        <w:t xml:space="preserve">La vigilance renforcée doit être maintenue pendant une période suffisante après la cessation des fonctions. Le GAFI recommande un minimum de 12 mois — l'AMLR (application 2027) imposera un minimum de 12 mois harmonisé.</w:t>
      </w:r>
    </w:p>
    <w:p>
      <w:pPr>
        <w:spacing w:before="60" w:after="0"/>
      </w:pPr>
    </w:p>
    <w:p>
      <w:pPr>
        <w:spacing w:before="60" w:after="80"/>
      </w:pPr>
      <w:r>
        <w:rPr>
          <w:rFonts w:ascii="Calibri" w:cs="Calibri" w:eastAsia="Calibri" w:hAnsi="Calibri"/>
          <w:color w:val="1F1F1F"/>
          <w:sz w:val="22"/>
          <w:szCs w:val="22"/>
        </w:rPr>
        <w:t xml:space="preserve">En pratique : maintenir le statut PPE et les mesures associées pendant au moins 12 à 18 mois après la cessation des fonctions. Réévaluer ensuite le niveau de risque résiduel.</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6 — Documentation obligatoire au dossier PPE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Date et méthode de détection du statut PPE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Qualification précise (PPE directe / famille / associée) et fonction concernée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Autorisation hiérarchique signée, datée, avec niveau d'approbation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Dossier d'origine du patrimoine et des fonds (déclarations + justificatifs)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Évaluation du risque initial et niveau attribué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Comptes-rendus des revues périodiques renforcées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Rapports de criblage horodatés (entrée en relation + continus)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Toute décision de maintien ou de clôture de la relation avec justification</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7 — Indicateurs de contrôle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Indicateur</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Cible</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 Fréquence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clients PPE avec autorisation DG</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Trimestrielle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documentée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dossiers PPE avec origine fonds</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Trimestrielle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documentée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Délai de revue périodique PPE respecté</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Semestrielle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continu PPE à jour</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8 — Documents associés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Document</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Référence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sanctions et PPE (général)</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Vigilance renforcée (EDD)</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EB-EDD-001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Entrée en relation PP</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EB-KYC-001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Entrée en relation PM</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EB-KYC-002</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Déclaration de soupçon Tracfin</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EB-TRC-001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Gel des avoirs</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EB-GEL-001</w:t>
            </w:r>
          </w:p>
        </w:tc>
      </w:tr>
    </w:tbl>
    <w:p>
      <w:pPr>
        <w:spacing w:before="100" w:after="0"/>
      </w:pPr>
    </w:p>
    <w:p>
      <w:pPr>
        <w:spacing w:before="60" w:after="0"/>
      </w:pPr>
    </w:p>
    <w:p>
      <w:pPr>
        <w:spacing w:before="60" w:after="80"/>
      </w:pPr>
      <w:r>
        <w:rPr>
          <w:rFonts w:ascii="Calibri" w:cs="Calibri" w:eastAsia="Calibri" w:hAnsi="Calibri"/>
          <w:color w:val="1F1F1F"/>
          <w:sz w:val="22"/>
          <w:szCs w:val="22"/>
        </w:rPr>
        <w:t xml:space="preserve">*Document produit par Early Brief — Veille réglementaire augmentée*</w:t>
      </w:r>
    </w:p>
    <w:p>
      <w:pPr>
        <w:spacing w:before="60" w:after="0"/>
      </w:pPr>
    </w:p>
    <w:sectPr>
      <w:headerReference w:type="default" r:id="rId6"/>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spacing w:before="60" w:after="0"/>
    </w:pPr>
    <w:r>
      <w:rPr>
        <w:rFonts w:ascii="Calibri" w:cs="Calibri" w:eastAsia="Calibri" w:hAnsi="Calibri"/>
        <w:color w:val="A0A0A0"/>
        <w:sz w:val="16"/>
        <w:szCs w:val="16"/>
      </w:rPr>
      <w:t xml:space="preserve">EB-PEP-001-v1.0   —   Confidentiel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spacing w:before="0" w:after="60"/>
    </w:pPr>
    <w:r>
      <w:rPr>
        <w:rFonts w:ascii="Courier New" w:cs="Courier New" w:eastAsia="Courier New" w:hAnsi="Courier New"/>
        <w:color w:val="A0A0A0"/>
        <w:sz w:val="18"/>
        <w:szCs w:val="18"/>
      </w:rPr>
      <w:t xml:space="preserve">EB-PEP-001-v1.0</w:t>
    </w:r>
    <w:r>
      <w:rPr>
        <w:rFonts w:ascii="Calibri" w:cs="Calibri" w:eastAsia="Calibri" w:hAnsi="Calibri"/>
        <w:color w:val="A0A0A0"/>
        <w:sz w:val="18"/>
        <w:szCs w:val="18"/>
      </w:rPr>
      <w:t xml:space="preserve">   —   </w:t>
    </w:r>
    <w:r>
      <w:rPr>
        <w:rFonts w:ascii="Calibri" w:cs="Calibri" w:eastAsia="Calibri" w:hAnsi="Calibri"/>
        <w:color w:val="595959"/>
        <w:sz w:val="18"/>
        <w:szCs w:val="18"/>
      </w:rPr>
      <w:t xml:space="preserve">Personnes politiquement exposées (PPE)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000000"/>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000000"/>
      <w:sz w:val="24"/>
      <w:szCs w:val="24"/>
    </w:rPr>
  </w:style>
  <w:style w:type="paragraph" w:styleId="Heading3">
    <w:name w:val="Heading 3"/>
    <w:basedOn w:val="Normal"/>
    <w:next w:val="Normal"/>
    <w:qFormat/>
    <w:pPr>
      <w:spacing w:before="180" w:after="8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2026-04-10T16:44:31.334Z</dcterms:created>
  <dcterms:modified xsi:type="dcterms:W3CDTF">2026-04-10T16:44:31.334Z</dcterms:modified>
</cp:coreProperties>
</file>

<file path=docProps/custom.xml><?xml version="1.0" encoding="utf-8"?>
<Properties xmlns="http://schemas.openxmlformats.org/officeDocument/2006/custom-properties" xmlns:vt="http://schemas.openxmlformats.org/officeDocument/2006/docPropsVTypes"/>
</file>