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3" w:type="dxa"/>
        <w:tblInd w:w="-99" w:type="dxa"/>
        <w:tblCellMar>
          <w:left w:w="138" w:type="dxa"/>
          <w:right w:w="115" w:type="dxa"/>
        </w:tblCellMar>
        <w:tblLook w:val="04A0" w:firstRow="1" w:lastRow="0" w:firstColumn="1" w:lastColumn="0" w:noHBand="0" w:noVBand="1"/>
      </w:tblPr>
      <w:tblGrid>
        <w:gridCol w:w="9303"/>
      </w:tblGrid>
      <w:tr w:rsidR="00D51C7B" w:rsidTr="00C068AE">
        <w:trPr>
          <w:trHeight w:val="473"/>
        </w:trPr>
        <w:tc>
          <w:tcPr>
            <w:tcW w:w="9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51C7B" w:rsidRPr="006352B8" w:rsidRDefault="00FA211F" w:rsidP="006352B8">
            <w:r w:rsidRPr="006352B8">
              <w:t xml:space="preserve">Levantamento de Requisitos Funcionais </w:t>
            </w:r>
          </w:p>
        </w:tc>
      </w:tr>
      <w:tr w:rsidR="00D51C7B" w:rsidTr="00C068AE">
        <w:trPr>
          <w:trHeight w:val="2835"/>
        </w:trPr>
        <w:tc>
          <w:tcPr>
            <w:tcW w:w="9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1C7B" w:rsidRPr="006352B8" w:rsidRDefault="00FA211F">
            <w:pPr>
              <w:numPr>
                <w:ilvl w:val="0"/>
                <w:numId w:val="1"/>
              </w:numPr>
              <w:spacing w:after="30"/>
              <w:ind w:firstLine="0"/>
              <w:rPr>
                <w:rFonts w:ascii="Arial" w:hAnsi="Arial" w:cs="Arial"/>
              </w:rPr>
            </w:pPr>
            <w:r w:rsidRPr="006352B8">
              <w:rPr>
                <w:rFonts w:ascii="Arial" w:hAnsi="Arial" w:cs="Arial"/>
                <w:color w:val="001D35"/>
                <w:sz w:val="22"/>
              </w:rPr>
              <w:t xml:space="preserve">Definir as funcionalidades que o sistema deve ter (login, histórico, devoluções...); </w:t>
            </w:r>
            <w:r w:rsidRPr="006352B8">
              <w:rPr>
                <w:rFonts w:ascii="Arial" w:eastAsia="Arial" w:hAnsi="Arial" w:cs="Arial"/>
                <w:sz w:val="22"/>
              </w:rPr>
              <w:t xml:space="preserve">• </w:t>
            </w:r>
          </w:p>
          <w:p w:rsidR="00D51C7B" w:rsidRPr="006352B8" w:rsidRDefault="00FA211F">
            <w:pPr>
              <w:spacing w:after="21" w:line="291" w:lineRule="auto"/>
              <w:ind w:left="354" w:firstLine="0"/>
              <w:rPr>
                <w:rFonts w:ascii="Arial" w:hAnsi="Arial" w:cs="Arial"/>
              </w:rPr>
            </w:pPr>
            <w:r w:rsidRPr="006352B8">
              <w:rPr>
                <w:rFonts w:ascii="Arial" w:hAnsi="Arial" w:cs="Arial"/>
                <w:color w:val="001D35"/>
                <w:sz w:val="22"/>
              </w:rPr>
              <w:t xml:space="preserve">Especificar como o sistema deve se comportar em situações específicas (concluiu leitura, </w:t>
            </w:r>
            <w:r w:rsidR="00B3376C" w:rsidRPr="006352B8">
              <w:rPr>
                <w:rFonts w:ascii="Arial" w:hAnsi="Arial" w:cs="Arial"/>
                <w:color w:val="001D35"/>
                <w:sz w:val="22"/>
              </w:rPr>
              <w:t>não teve</w:t>
            </w:r>
            <w:r w:rsidRPr="006352B8">
              <w:rPr>
                <w:rFonts w:ascii="Arial" w:hAnsi="Arial" w:cs="Arial"/>
                <w:color w:val="001D35"/>
                <w:sz w:val="22"/>
              </w:rPr>
              <w:t xml:space="preserve"> devolutiva...); </w:t>
            </w:r>
          </w:p>
          <w:p w:rsidR="00D51C7B" w:rsidRPr="006352B8" w:rsidRDefault="00FA211F">
            <w:pPr>
              <w:numPr>
                <w:ilvl w:val="0"/>
                <w:numId w:val="1"/>
              </w:numPr>
              <w:spacing w:after="47"/>
              <w:ind w:firstLine="0"/>
              <w:rPr>
                <w:rFonts w:ascii="Arial" w:hAnsi="Arial" w:cs="Arial"/>
              </w:rPr>
            </w:pPr>
            <w:r w:rsidRPr="006352B8">
              <w:rPr>
                <w:rFonts w:ascii="Arial" w:hAnsi="Arial" w:cs="Arial"/>
                <w:color w:val="001D35"/>
                <w:sz w:val="22"/>
              </w:rPr>
              <w:t xml:space="preserve">Permitir a busca de livros por título ou categoria; </w:t>
            </w:r>
          </w:p>
          <w:p w:rsidR="00D51C7B" w:rsidRPr="006352B8" w:rsidRDefault="00FA211F">
            <w:pPr>
              <w:numPr>
                <w:ilvl w:val="0"/>
                <w:numId w:val="1"/>
              </w:numPr>
              <w:spacing w:after="20" w:line="294" w:lineRule="auto"/>
              <w:ind w:firstLine="0"/>
              <w:rPr>
                <w:rFonts w:ascii="Arial" w:hAnsi="Arial" w:cs="Arial"/>
              </w:rPr>
            </w:pPr>
            <w:r w:rsidRPr="006352B8">
              <w:rPr>
                <w:rFonts w:ascii="Arial" w:hAnsi="Arial" w:cs="Arial"/>
                <w:color w:val="001D35"/>
                <w:sz w:val="22"/>
              </w:rPr>
              <w:t xml:space="preserve">Emitir uma mensagem de indisponibilidade quando um livro estiver locado; </w:t>
            </w:r>
            <w:r w:rsidRPr="006352B8">
              <w:rPr>
                <w:rFonts w:ascii="Arial" w:eastAsia="Arial" w:hAnsi="Arial" w:cs="Arial"/>
                <w:sz w:val="22"/>
              </w:rPr>
              <w:t xml:space="preserve">• </w:t>
            </w:r>
            <w:r w:rsidRPr="006352B8">
              <w:rPr>
                <w:rFonts w:ascii="Arial" w:hAnsi="Arial" w:cs="Arial"/>
                <w:sz w:val="22"/>
              </w:rPr>
              <w:t xml:space="preserve">Controlar Empréstimos e devoluções de Livros; </w:t>
            </w:r>
          </w:p>
          <w:p w:rsidR="00D51C7B" w:rsidRPr="006352B8" w:rsidRDefault="00FA211F">
            <w:pPr>
              <w:numPr>
                <w:ilvl w:val="0"/>
                <w:numId w:val="1"/>
              </w:numPr>
              <w:spacing w:after="48"/>
              <w:ind w:firstLine="0"/>
              <w:rPr>
                <w:rFonts w:ascii="Arial" w:hAnsi="Arial" w:cs="Arial"/>
              </w:rPr>
            </w:pPr>
            <w:r w:rsidRPr="006352B8">
              <w:rPr>
                <w:rFonts w:ascii="Arial" w:hAnsi="Arial" w:cs="Arial"/>
                <w:sz w:val="22"/>
              </w:rPr>
              <w:t xml:space="preserve">Consultar disponibilidade de livros online; </w:t>
            </w:r>
          </w:p>
          <w:p w:rsidR="00D51C7B" w:rsidRDefault="00FA211F">
            <w:pPr>
              <w:numPr>
                <w:ilvl w:val="0"/>
                <w:numId w:val="1"/>
              </w:numPr>
              <w:ind w:firstLine="0"/>
            </w:pPr>
            <w:r w:rsidRPr="006352B8">
              <w:rPr>
                <w:rFonts w:ascii="Arial" w:hAnsi="Arial" w:cs="Arial"/>
                <w:sz w:val="22"/>
              </w:rPr>
              <w:t>Cadastro de autores, editora, assuntos e idiomas;</w:t>
            </w:r>
            <w:r>
              <w:rPr>
                <w:sz w:val="22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1341" w:tblpY="14411"/>
        <w:tblOverlap w:val="never"/>
        <w:tblW w:w="9248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48"/>
      </w:tblGrid>
      <w:tr w:rsidR="00D51C7B" w:rsidTr="006352B8">
        <w:trPr>
          <w:trHeight w:val="473"/>
        </w:trPr>
        <w:tc>
          <w:tcPr>
            <w:tcW w:w="9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51C7B" w:rsidRPr="006352B8" w:rsidRDefault="00B961E0" w:rsidP="006352B8">
            <w:r>
              <w:t>Requisitos Não Funcionais</w:t>
            </w:r>
          </w:p>
        </w:tc>
      </w:tr>
      <w:tr w:rsidR="00D51C7B" w:rsidTr="006352B8">
        <w:trPr>
          <w:trHeight w:val="473"/>
        </w:trPr>
        <w:tc>
          <w:tcPr>
            <w:tcW w:w="9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51C7B" w:rsidRPr="006352B8" w:rsidRDefault="00FA211F" w:rsidP="006352B8">
            <w:r w:rsidRPr="006352B8">
              <w:t>Requisitos de interoperabilidade</w:t>
            </w:r>
          </w:p>
        </w:tc>
      </w:tr>
      <w:tr w:rsidR="00D51C7B" w:rsidTr="0013433E">
        <w:trPr>
          <w:trHeight w:val="2105"/>
        </w:trPr>
        <w:tc>
          <w:tcPr>
            <w:tcW w:w="9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33E" w:rsidRPr="0013433E" w:rsidRDefault="0013433E" w:rsidP="0013433E">
            <w:pPr>
              <w:spacing w:before="100" w:beforeAutospacing="1" w:after="100" w:afterAutospacing="1"/>
              <w:ind w:left="0" w:firstLine="0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. Padronização de Metadados</w:t>
            </w:r>
          </w:p>
          <w:p w:rsidR="0013433E" w:rsidRPr="0013433E" w:rsidRDefault="0013433E" w:rsidP="006352B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Adoção de padrões de metadados como MARC, Dublin Core ou RDA para descrição bibliográfica consistente e </w:t>
            </w:r>
            <w:proofErr w:type="spellStart"/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interoperável</w:t>
            </w:r>
            <w:proofErr w:type="spellEnd"/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.</w:t>
            </w:r>
          </w:p>
          <w:p w:rsidR="0013433E" w:rsidRPr="0013433E" w:rsidRDefault="0013433E" w:rsidP="0013433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Utilização de vocabulários controlados e listas de autoridades para garantir a uniformidade na indexação e recuperação de informações.</w:t>
            </w:r>
          </w:p>
          <w:p w:rsidR="0013433E" w:rsidRPr="0013433E" w:rsidRDefault="0013433E" w:rsidP="0013433E">
            <w:pPr>
              <w:spacing w:before="100" w:beforeAutospacing="1" w:after="100" w:afterAutospacing="1"/>
              <w:ind w:left="0" w:firstLine="0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2. Protocolos de Comunicação</w:t>
            </w:r>
          </w:p>
          <w:p w:rsidR="0013433E" w:rsidRPr="0013433E" w:rsidRDefault="0013433E" w:rsidP="001343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Implementação de protocolos como OAI-PMH para permitir a troca de metadados entre diferentes sistemas e plataformas.</w:t>
            </w:r>
          </w:p>
          <w:p w:rsidR="0013433E" w:rsidRPr="0013433E" w:rsidRDefault="0013433E" w:rsidP="001343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Utilização de APIs (Interfaces de Programação de Aplicativos) para facilitar a comunicação e a integração com outros serviços e aplicativos.</w:t>
            </w:r>
          </w:p>
          <w:p w:rsidR="0013433E" w:rsidRPr="0013433E" w:rsidRDefault="0013433E" w:rsidP="0013433E">
            <w:pPr>
              <w:spacing w:before="100" w:beforeAutospacing="1" w:after="100" w:afterAutospacing="1"/>
              <w:ind w:left="0" w:firstLine="0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3. Formatos de Dados Abertos</w:t>
            </w:r>
          </w:p>
          <w:p w:rsidR="0013433E" w:rsidRPr="0013433E" w:rsidRDefault="0013433E" w:rsidP="0013433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Priorização de formatos de dados abertos e não proprietários, como XML, JSON ou RDF, para garantir a acessibilidade e a reutilização das informações.</w:t>
            </w:r>
          </w:p>
          <w:p w:rsidR="0013433E" w:rsidRPr="0013433E" w:rsidRDefault="0013433E" w:rsidP="0013433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Conversão de formatos de dados legados para formatos interoperáveis, quando necessário.</w:t>
            </w:r>
          </w:p>
          <w:p w:rsidR="0013433E" w:rsidRPr="0013433E" w:rsidRDefault="0013433E" w:rsidP="0013433E">
            <w:pPr>
              <w:spacing w:before="100" w:beforeAutospacing="1" w:after="100" w:afterAutospacing="1"/>
              <w:ind w:left="0" w:firstLine="0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4. Sistemas de Gerenciamento de Bibliotecas (</w:t>
            </w:r>
            <w:proofErr w:type="spellStart"/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SGB</w:t>
            </w:r>
            <w:bookmarkStart w:id="0" w:name="_GoBack"/>
            <w:bookmarkEnd w:id="0"/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s</w:t>
            </w:r>
            <w:proofErr w:type="spellEnd"/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)</w:t>
            </w:r>
          </w:p>
          <w:p w:rsidR="0013433E" w:rsidRPr="0013433E" w:rsidRDefault="0013433E" w:rsidP="0013433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Utilização de </w:t>
            </w:r>
            <w:proofErr w:type="spellStart"/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SGBs</w:t>
            </w:r>
            <w:proofErr w:type="spellEnd"/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que suportem padrões de interoperabilidade e protocolos de comunicação, permitindo a integração com outros sistemas e recursos.</w:t>
            </w:r>
          </w:p>
          <w:p w:rsidR="0013433E" w:rsidRPr="0013433E" w:rsidRDefault="0013433E" w:rsidP="0013433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Implementação de funcionalidades de importação e exportação de dados em formatos interoperáveis.</w:t>
            </w:r>
          </w:p>
          <w:p w:rsidR="0013433E" w:rsidRPr="0013433E" w:rsidRDefault="0013433E" w:rsidP="0013433E">
            <w:pPr>
              <w:spacing w:before="100" w:beforeAutospacing="1" w:after="100" w:afterAutospacing="1"/>
              <w:ind w:left="0" w:firstLine="0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5. Repositórios Digitais</w:t>
            </w:r>
          </w:p>
          <w:p w:rsidR="0013433E" w:rsidRPr="0013433E" w:rsidRDefault="0013433E" w:rsidP="0013433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Desenvolvimento de repositórios digitais que sigam padrões de interoperabilidade para garantir a preservação, o acesso e o compartilhamento de documentos digitais.</w:t>
            </w:r>
          </w:p>
          <w:p w:rsidR="0013433E" w:rsidRPr="0013433E" w:rsidRDefault="0013433E" w:rsidP="0013433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Utilização de identificadores persistentes, como DOI ou </w:t>
            </w:r>
            <w:proofErr w:type="spellStart"/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Handle</w:t>
            </w:r>
            <w:proofErr w:type="spellEnd"/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, para facilitar a localização e a citação de recursos digitais.</w:t>
            </w:r>
          </w:p>
          <w:p w:rsidR="0013433E" w:rsidRPr="0013433E" w:rsidRDefault="0013433E" w:rsidP="0013433E">
            <w:pPr>
              <w:spacing w:before="100" w:beforeAutospacing="1" w:after="100" w:afterAutospacing="1"/>
              <w:ind w:left="0" w:firstLine="0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6. Portais de Busca e Descoberta</w:t>
            </w:r>
          </w:p>
          <w:p w:rsidR="0013433E" w:rsidRPr="0013433E" w:rsidRDefault="0013433E" w:rsidP="0013433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lastRenderedPageBreak/>
              <w:t>Integração de diferentes fontes de informação em portais de busca e descoberta unificados, permitindo aos usuários pesquisar em diversos recursos de forma integrada.</w:t>
            </w:r>
          </w:p>
          <w:p w:rsidR="0013433E" w:rsidRPr="0013433E" w:rsidRDefault="0013433E" w:rsidP="0013433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Utilização de tecnologias de busca federada para consultar diferentes bases de dados e sistemas de informação de forma simultânea.</w:t>
            </w:r>
          </w:p>
          <w:p w:rsidR="0013433E" w:rsidRPr="0013433E" w:rsidRDefault="0013433E" w:rsidP="0013433E">
            <w:pPr>
              <w:spacing w:before="100" w:beforeAutospacing="1" w:after="100" w:afterAutospacing="1"/>
              <w:ind w:left="0" w:firstLine="0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7. Acessibilidade e Inclusão</w:t>
            </w:r>
          </w:p>
          <w:p w:rsidR="0013433E" w:rsidRPr="0013433E" w:rsidRDefault="0013433E" w:rsidP="0013433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Garantir que os sistemas e recursos de informação sejam acessíveis a todos os usuários, incluindo pessoas com deficiência, seguindo diretrizes de acessibilidade como WCAG.</w:t>
            </w:r>
          </w:p>
          <w:p w:rsidR="0013433E" w:rsidRPr="0013433E" w:rsidRDefault="0013433E" w:rsidP="0013433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Utilizar tecnologias assistivas e formatos de dados acessíveis para facilitar o acesso à informação.</w:t>
            </w:r>
          </w:p>
          <w:p w:rsidR="00D51C7B" w:rsidRPr="006352B8" w:rsidRDefault="00D51C7B">
            <w:pPr>
              <w:spacing w:after="160"/>
              <w:ind w:left="0" w:firstLine="0"/>
              <w:rPr>
                <w:rFonts w:ascii="Arial" w:hAnsi="Arial" w:cs="Arial"/>
                <w:sz w:val="22"/>
              </w:rPr>
            </w:pPr>
          </w:p>
        </w:tc>
      </w:tr>
      <w:tr w:rsidR="00D51C7B" w:rsidTr="006352B8">
        <w:trPr>
          <w:trHeight w:val="473"/>
        </w:trPr>
        <w:tc>
          <w:tcPr>
            <w:tcW w:w="9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51C7B" w:rsidRDefault="00FA211F" w:rsidP="006352B8">
            <w:pPr>
              <w:ind w:left="0" w:firstLine="0"/>
              <w:jc w:val="center"/>
            </w:pPr>
            <w:r w:rsidRPr="006352B8">
              <w:lastRenderedPageBreak/>
              <w:t>Requisitos</w:t>
            </w:r>
            <w:r w:rsidRPr="006352B8">
              <w:rPr>
                <w:shd w:val="clear" w:color="auto" w:fill="BFBFBF" w:themeFill="background1" w:themeFillShade="BF"/>
              </w:rPr>
              <w:t xml:space="preserve"> Éticos</w:t>
            </w:r>
          </w:p>
        </w:tc>
      </w:tr>
      <w:tr w:rsidR="00D51C7B" w:rsidTr="006352B8">
        <w:trPr>
          <w:trHeight w:val="3680"/>
        </w:trPr>
        <w:tc>
          <w:tcPr>
            <w:tcW w:w="9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33E" w:rsidRPr="0013433E" w:rsidRDefault="0013433E" w:rsidP="0013433E">
            <w:pPr>
              <w:ind w:left="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 Integridade</w:t>
            </w: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deve atuar com integridade, honestidade e transparência em todas as suas atividades. </w:t>
            </w:r>
          </w:p>
          <w:p w:rsidR="0013433E" w:rsidRPr="0013433E" w:rsidRDefault="0013433E" w:rsidP="0013433E">
            <w:pPr>
              <w:ind w:left="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 Responsabilidade</w:t>
            </w: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é responsável pela qualidade dos serviços </w:t>
            </w:r>
            <w:proofErr w:type="spellStart"/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que oferece</w:t>
            </w:r>
            <w:proofErr w:type="spellEnd"/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e pelo impacto de suas ações na comunidade. </w:t>
            </w:r>
          </w:p>
          <w:p w:rsidR="0013433E" w:rsidRPr="0013433E" w:rsidRDefault="0013433E" w:rsidP="0013433E">
            <w:pPr>
              <w:ind w:left="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 Respeito</w:t>
            </w: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deve tratar todos os usuários com respeito e dignidade, sem discriminação de qualquer tipo. </w:t>
            </w:r>
          </w:p>
          <w:p w:rsidR="00D51C7B" w:rsidRDefault="0013433E" w:rsidP="0013433E">
            <w:pPr>
              <w:spacing w:after="160"/>
              <w:ind w:left="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> Profissionalismo</w:t>
            </w: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Os funcionários da biblioteca devem atuar com profissionalismo, ética e competência.</w:t>
            </w:r>
          </w:p>
          <w:p w:rsidR="0013433E" w:rsidRDefault="0013433E" w:rsidP="0013433E">
            <w:pPr>
              <w:spacing w:after="160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horzAnchor="margin" w:tblpY="-19"/>
        <w:tblW w:w="9134" w:type="dxa"/>
        <w:tblInd w:w="0" w:type="dxa"/>
        <w:tblCellMar>
          <w:left w:w="138" w:type="dxa"/>
          <w:right w:w="115" w:type="dxa"/>
        </w:tblCellMar>
        <w:tblLook w:val="04A0" w:firstRow="1" w:lastRow="0" w:firstColumn="1" w:lastColumn="0" w:noHBand="0" w:noVBand="1"/>
      </w:tblPr>
      <w:tblGrid>
        <w:gridCol w:w="3350"/>
        <w:gridCol w:w="5784"/>
      </w:tblGrid>
      <w:tr w:rsidR="006352B8" w:rsidRPr="0013433E" w:rsidTr="006352B8">
        <w:trPr>
          <w:trHeight w:val="651"/>
        </w:trPr>
        <w:tc>
          <w:tcPr>
            <w:tcW w:w="9134" w:type="dxa"/>
            <w:gridSpan w:val="2"/>
            <w:tcBorders>
              <w:top w:val="double" w:sz="8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6352B8" w:rsidRPr="006352B8" w:rsidRDefault="006352B8" w:rsidP="006352B8">
            <w:pPr>
              <w:ind w:left="4452"/>
            </w:pPr>
            <w:r w:rsidRPr="006352B8">
              <w:lastRenderedPageBreak/>
              <w:t>Requisitos   Legais</w:t>
            </w:r>
          </w:p>
          <w:p w:rsidR="006352B8" w:rsidRPr="006352B8" w:rsidRDefault="006352B8" w:rsidP="006352B8">
            <w:pPr>
              <w:ind w:left="0" w:firstLine="0"/>
            </w:pPr>
          </w:p>
        </w:tc>
      </w:tr>
      <w:tr w:rsidR="006352B8" w:rsidRPr="0013433E" w:rsidTr="006352B8">
        <w:trPr>
          <w:trHeight w:val="526"/>
        </w:trPr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6352B8" w:rsidRPr="006352B8" w:rsidRDefault="006352B8" w:rsidP="006352B8">
            <w:pPr>
              <w:ind w:left="0" w:firstLine="0"/>
            </w:pPr>
            <w:r w:rsidRPr="006352B8">
              <w:t>Requisitos de privacidade</w:t>
            </w:r>
          </w:p>
        </w:tc>
        <w:tc>
          <w:tcPr>
            <w:tcW w:w="5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2B8" w:rsidRPr="0013433E" w:rsidRDefault="006352B8" w:rsidP="006352B8">
            <w:pPr>
              <w:spacing w:before="100" w:beforeAutospacing="1" w:after="100" w:afterAutospacing="1"/>
              <w:ind w:left="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1. Coleta e uso de dados:</w:t>
            </w:r>
          </w:p>
          <w:p w:rsidR="006352B8" w:rsidRPr="0013433E" w:rsidRDefault="006352B8" w:rsidP="006352B8">
            <w:pPr>
              <w:spacing w:before="100" w:beforeAutospacing="1" w:after="100" w:afterAutospacing="1"/>
              <w:ind w:left="72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Minimização: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deve coletar apenas os dados pessoais estritamente necessários para fornecer seus serviços.</w:t>
            </w:r>
          </w:p>
          <w:p w:rsidR="006352B8" w:rsidRPr="0013433E" w:rsidRDefault="006352B8" w:rsidP="006352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Finalidade: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Os dados coletados devem ser utilizados apenas para fins específicos e legítimos, como controle de empréstimos, comunicação com usuários e melhoria dos serviços.</w:t>
            </w:r>
          </w:p>
          <w:p w:rsidR="006352B8" w:rsidRPr="0013433E" w:rsidRDefault="006352B8" w:rsidP="006352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Consentimento: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Em muitos casos, a biblioteca deve obter o consentimento explícito do usuário antes de coletar ou utilizar seus dados pessoais.</w:t>
            </w:r>
          </w:p>
          <w:p w:rsidR="006352B8" w:rsidRPr="0013433E" w:rsidRDefault="006352B8" w:rsidP="006352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Transparência: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deve informar claramente aos usuários sobre quais dados são coletados, como são utilizados e com quem são compartilhados.</w:t>
            </w:r>
          </w:p>
          <w:p w:rsidR="006352B8" w:rsidRPr="0013433E" w:rsidRDefault="006352B8" w:rsidP="006352B8">
            <w:pPr>
              <w:spacing w:before="100" w:beforeAutospacing="1" w:after="100" w:afterAutospacing="1"/>
              <w:ind w:left="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2. Armazenamento e segurança:</w:t>
            </w:r>
          </w:p>
          <w:p w:rsidR="006352B8" w:rsidRPr="0013433E" w:rsidRDefault="006352B8" w:rsidP="006352B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Segurança: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deve implementar medidas de segurança técnicas e organizacionais adequadas para proteger os dados pessoais contra acesso não autorizado, uso indevido, alteração, divulgação ou destruição.   </w:t>
            </w:r>
          </w:p>
          <w:p w:rsidR="006352B8" w:rsidRPr="0013433E" w:rsidRDefault="006352B8" w:rsidP="006352B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Retenção: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Os dados pessoais devem ser armazenados apenas pelo tempo necessário para cumprir a finalidade para a qual foram coletados.   </w:t>
            </w:r>
          </w:p>
          <w:p w:rsidR="006352B8" w:rsidRPr="0013433E" w:rsidRDefault="006352B8" w:rsidP="006352B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Eliminação: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Após o período de retenção, os dados pessoais devem ser eliminados de forma segura.</w:t>
            </w:r>
          </w:p>
          <w:p w:rsidR="006352B8" w:rsidRPr="0013433E" w:rsidRDefault="006352B8" w:rsidP="006352B8">
            <w:pPr>
              <w:spacing w:before="100" w:beforeAutospacing="1" w:after="100" w:afterAutospacing="1"/>
              <w:ind w:left="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3. Compartilhamento de dados:</w:t>
            </w:r>
          </w:p>
          <w:p w:rsidR="006352B8" w:rsidRPr="0013433E" w:rsidRDefault="006352B8" w:rsidP="006352B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Restrição: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deve restringir o compartilhamento de dados pessoais com terceiros ao mínimo necessário e garantir que esses terceiros também cumpram os requisitos de privacidade.</w:t>
            </w:r>
          </w:p>
          <w:p w:rsidR="006352B8" w:rsidRPr="0013433E" w:rsidRDefault="006352B8" w:rsidP="006352B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Controle: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Os usuários devem ter o direito de saber com quem seus dados estão sendo compartilhados e, em alguns casos, de impedir o compartilhamento.</w:t>
            </w:r>
          </w:p>
          <w:p w:rsidR="006352B8" w:rsidRPr="0013433E" w:rsidRDefault="006352B8" w:rsidP="006352B8">
            <w:pPr>
              <w:spacing w:before="100" w:beforeAutospacing="1" w:after="100" w:afterAutospacing="1"/>
              <w:ind w:left="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4. Direitos dos usuários:</w:t>
            </w:r>
          </w:p>
          <w:p w:rsidR="006352B8" w:rsidRPr="0013433E" w:rsidRDefault="006352B8" w:rsidP="006352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Acesso: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Os usuários têm o direito de acessar seus dados pessoais e obter informações sobre como eles estão sendo utilizados.</w:t>
            </w:r>
          </w:p>
          <w:p w:rsidR="006352B8" w:rsidRPr="0013433E" w:rsidRDefault="006352B8" w:rsidP="006352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lastRenderedPageBreak/>
              <w:t>Retificação: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Os usuários têm o direito de corrigir ou atualizar seus dados pessoais caso estejam incorretos ou incompletos.</w:t>
            </w:r>
          </w:p>
          <w:p w:rsidR="006352B8" w:rsidRPr="0013433E" w:rsidRDefault="006352B8" w:rsidP="006352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Exclusão: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Em alguns casos, os usuários têm o direito de solicitar a exclusão de seus dados pessoais.</w:t>
            </w:r>
          </w:p>
          <w:p w:rsidR="006352B8" w:rsidRPr="0013433E" w:rsidRDefault="006352B8" w:rsidP="006352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Oposição: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Os usuários têm o direito de se opor ao uso de seus dados pessoais para determinados fins.</w:t>
            </w:r>
          </w:p>
          <w:p w:rsidR="006352B8" w:rsidRPr="0013433E" w:rsidRDefault="006352B8" w:rsidP="006352B8">
            <w:pPr>
              <w:spacing w:before="100" w:beforeAutospacing="1" w:after="100" w:afterAutospacing="1"/>
              <w:ind w:left="0" w:firstLine="0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5. Outros requisitos:</w:t>
            </w:r>
          </w:p>
          <w:p w:rsidR="006352B8" w:rsidRPr="0013433E" w:rsidRDefault="006352B8" w:rsidP="006352B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Conformidade legal: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deve cumprir todas as leis e regulamentos de proteção de dados aplicáveis, como a Lei Geral de Proteção de Dados (LGPD) no Brasil.</w:t>
            </w:r>
          </w:p>
          <w:p w:rsidR="006352B8" w:rsidRPr="0013433E" w:rsidRDefault="006352B8" w:rsidP="006352B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Política de privacidade: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deve ter uma política de privacidade clara e acessível que explique como ela coleta, utiliza, armazena e compartilha dados pessoais.</w:t>
            </w:r>
          </w:p>
          <w:p w:rsidR="006352B8" w:rsidRPr="0013433E" w:rsidRDefault="006352B8" w:rsidP="006352B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2"/>
              </w:rPr>
            </w:pPr>
            <w:r w:rsidRPr="0013433E">
              <w:rPr>
                <w:rFonts w:ascii="Arial" w:eastAsia="Times New Roman" w:hAnsi="Arial" w:cs="Arial"/>
                <w:b/>
                <w:bCs/>
                <w:color w:val="auto"/>
                <w:sz w:val="22"/>
              </w:rPr>
              <w:t>Responsabilidade:</w:t>
            </w:r>
            <w:r w:rsidRPr="0013433E">
              <w:rPr>
                <w:rFonts w:ascii="Arial" w:eastAsia="Times New Roman" w:hAnsi="Arial" w:cs="Arial"/>
                <w:color w:val="auto"/>
                <w:sz w:val="22"/>
              </w:rPr>
              <w:t xml:space="preserve"> A biblioteca deve designar um responsável pela proteção de dados e fornecer canais de comunicação para que os usuários possam tirar dúvidas ou fazer reclamações sobre privacidade.</w:t>
            </w:r>
          </w:p>
          <w:p w:rsidR="006352B8" w:rsidRPr="0013433E" w:rsidRDefault="006352B8" w:rsidP="006352B8">
            <w:pPr>
              <w:spacing w:after="160"/>
              <w:ind w:left="0" w:firstLine="0"/>
              <w:rPr>
                <w:rFonts w:ascii="Arial" w:hAnsi="Arial" w:cs="Arial"/>
                <w:sz w:val="22"/>
              </w:rPr>
            </w:pPr>
          </w:p>
        </w:tc>
      </w:tr>
      <w:tr w:rsidR="006352B8" w:rsidTr="006352B8">
        <w:trPr>
          <w:trHeight w:val="527"/>
        </w:trPr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6352B8" w:rsidRPr="0013433E" w:rsidRDefault="006352B8" w:rsidP="006352B8">
            <w:pPr>
              <w:ind w:left="0" w:firstLine="0"/>
            </w:pPr>
            <w:r w:rsidRPr="006352B8">
              <w:rPr>
                <w:shd w:val="clear" w:color="auto" w:fill="BFBFBF" w:themeFill="background1" w:themeFillShade="BF"/>
              </w:rPr>
              <w:lastRenderedPageBreak/>
              <w:t>Requisitos de</w:t>
            </w:r>
            <w:r w:rsidRPr="0013433E">
              <w:rPr>
                <w:shd w:val="clear" w:color="auto" w:fill="D9D9D9"/>
              </w:rPr>
              <w:t xml:space="preserve"> </w:t>
            </w:r>
            <w:r w:rsidRPr="006352B8">
              <w:t>Segurança</w:t>
            </w:r>
          </w:p>
        </w:tc>
        <w:tc>
          <w:tcPr>
            <w:tcW w:w="5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2B8" w:rsidRPr="0013433E" w:rsidRDefault="006352B8" w:rsidP="006352B8">
            <w:pPr>
              <w:spacing w:after="160"/>
              <w:ind w:left="0" w:firstLine="0"/>
              <w:rPr>
                <w:rFonts w:ascii="Arial" w:hAnsi="Arial" w:cs="Arial"/>
                <w:sz w:val="22"/>
              </w:rPr>
            </w:pPr>
            <w:r w:rsidRPr="0013433E">
              <w:rPr>
                <w:rFonts w:ascii="Arial" w:hAnsi="Arial" w:cs="Arial"/>
                <w:sz w:val="22"/>
              </w:rPr>
              <w:t>A biblioteca deve garantir a segurança de seus usuários, funcionários e acervo, adotando medidas de prevenção e combate a incêndios, roubos e outros incidentes.</w:t>
            </w:r>
          </w:p>
        </w:tc>
      </w:tr>
    </w:tbl>
    <w:p w:rsidR="006352B8" w:rsidRDefault="006352B8"/>
    <w:p w:rsidR="00D51C7B" w:rsidRDefault="00D51C7B">
      <w:pPr>
        <w:ind w:left="-1440" w:right="10460" w:firstLine="0"/>
      </w:pPr>
    </w:p>
    <w:p w:rsidR="00FA211F" w:rsidRDefault="00FA211F"/>
    <w:sectPr w:rsidR="00FA211F">
      <w:pgSz w:w="11900" w:h="16840"/>
      <w:pgMar w:top="1431" w:right="1440" w:bottom="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6B4" w:rsidRDefault="006D76B4" w:rsidP="006352B8">
      <w:pPr>
        <w:spacing w:line="240" w:lineRule="auto"/>
      </w:pPr>
      <w:r>
        <w:separator/>
      </w:r>
    </w:p>
  </w:endnote>
  <w:endnote w:type="continuationSeparator" w:id="0">
    <w:p w:rsidR="006D76B4" w:rsidRDefault="006D76B4" w:rsidP="00635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6B4" w:rsidRDefault="006D76B4" w:rsidP="006352B8">
      <w:pPr>
        <w:spacing w:line="240" w:lineRule="auto"/>
      </w:pPr>
      <w:r>
        <w:separator/>
      </w:r>
    </w:p>
  </w:footnote>
  <w:footnote w:type="continuationSeparator" w:id="0">
    <w:p w:rsidR="006D76B4" w:rsidRDefault="006D76B4" w:rsidP="00635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2DD3"/>
    <w:multiLevelType w:val="multilevel"/>
    <w:tmpl w:val="459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5210"/>
    <w:multiLevelType w:val="multilevel"/>
    <w:tmpl w:val="E6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C40E5"/>
    <w:multiLevelType w:val="multilevel"/>
    <w:tmpl w:val="AA6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6770D"/>
    <w:multiLevelType w:val="multilevel"/>
    <w:tmpl w:val="DB9C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30D73"/>
    <w:multiLevelType w:val="multilevel"/>
    <w:tmpl w:val="6352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B6AD6"/>
    <w:multiLevelType w:val="hybridMultilevel"/>
    <w:tmpl w:val="B950C720"/>
    <w:lvl w:ilvl="0" w:tplc="A81A9D14">
      <w:start w:val="1"/>
      <w:numFmt w:val="bullet"/>
      <w:lvlText w:val="•"/>
      <w:lvlJc w:val="left"/>
      <w:pPr>
        <w:ind w:left="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E0A964">
      <w:start w:val="1"/>
      <w:numFmt w:val="bullet"/>
      <w:lvlText w:val="o"/>
      <w:lvlJc w:val="left"/>
      <w:pPr>
        <w:ind w:left="1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560544">
      <w:start w:val="1"/>
      <w:numFmt w:val="bullet"/>
      <w:lvlText w:val="▪"/>
      <w:lvlJc w:val="left"/>
      <w:pPr>
        <w:ind w:left="2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7CDF34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249C52">
      <w:start w:val="1"/>
      <w:numFmt w:val="bullet"/>
      <w:lvlText w:val="o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7C294E">
      <w:start w:val="1"/>
      <w:numFmt w:val="bullet"/>
      <w:lvlText w:val="▪"/>
      <w:lvlJc w:val="left"/>
      <w:pPr>
        <w:ind w:left="4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6E67AE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F40740">
      <w:start w:val="1"/>
      <w:numFmt w:val="bullet"/>
      <w:lvlText w:val="o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83AD8">
      <w:start w:val="1"/>
      <w:numFmt w:val="bullet"/>
      <w:lvlText w:val="▪"/>
      <w:lvlJc w:val="left"/>
      <w:pPr>
        <w:ind w:left="6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015A28"/>
    <w:multiLevelType w:val="multilevel"/>
    <w:tmpl w:val="E95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C3D7E"/>
    <w:multiLevelType w:val="multilevel"/>
    <w:tmpl w:val="90F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B0728"/>
    <w:multiLevelType w:val="multilevel"/>
    <w:tmpl w:val="80B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4517B"/>
    <w:multiLevelType w:val="multilevel"/>
    <w:tmpl w:val="60E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06EC3"/>
    <w:multiLevelType w:val="multilevel"/>
    <w:tmpl w:val="FC1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07DFC"/>
    <w:multiLevelType w:val="hybridMultilevel"/>
    <w:tmpl w:val="FB9ADB00"/>
    <w:lvl w:ilvl="0" w:tplc="24E482AA">
      <w:start w:val="1"/>
      <w:numFmt w:val="bullet"/>
      <w:lvlText w:val="•"/>
      <w:lvlJc w:val="left"/>
      <w:pPr>
        <w:ind w:left="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A1B62">
      <w:start w:val="1"/>
      <w:numFmt w:val="bullet"/>
      <w:lvlText w:val="o"/>
      <w:lvlJc w:val="left"/>
      <w:pPr>
        <w:ind w:left="1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007CD8">
      <w:start w:val="1"/>
      <w:numFmt w:val="bullet"/>
      <w:lvlText w:val="▪"/>
      <w:lvlJc w:val="left"/>
      <w:pPr>
        <w:ind w:left="2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66EB0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25024">
      <w:start w:val="1"/>
      <w:numFmt w:val="bullet"/>
      <w:lvlText w:val="o"/>
      <w:lvlJc w:val="left"/>
      <w:pPr>
        <w:ind w:left="3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43E">
      <w:start w:val="1"/>
      <w:numFmt w:val="bullet"/>
      <w:lvlText w:val="▪"/>
      <w:lvlJc w:val="left"/>
      <w:pPr>
        <w:ind w:left="4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5CF0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6A8E8A">
      <w:start w:val="1"/>
      <w:numFmt w:val="bullet"/>
      <w:lvlText w:val="o"/>
      <w:lvlJc w:val="left"/>
      <w:pPr>
        <w:ind w:left="5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12E988">
      <w:start w:val="1"/>
      <w:numFmt w:val="bullet"/>
      <w:lvlText w:val="▪"/>
      <w:lvlJc w:val="left"/>
      <w:pPr>
        <w:ind w:left="6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425F42"/>
    <w:multiLevelType w:val="multilevel"/>
    <w:tmpl w:val="7D9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73C91"/>
    <w:multiLevelType w:val="multilevel"/>
    <w:tmpl w:val="78B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12"/>
  </w:num>
  <w:num w:numId="11">
    <w:abstractNumId w:val="3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C7B"/>
    <w:rsid w:val="0013433E"/>
    <w:rsid w:val="001E0D89"/>
    <w:rsid w:val="002C74B8"/>
    <w:rsid w:val="006352B8"/>
    <w:rsid w:val="006D76B4"/>
    <w:rsid w:val="00934443"/>
    <w:rsid w:val="00B3376C"/>
    <w:rsid w:val="00B961E0"/>
    <w:rsid w:val="00C068AE"/>
    <w:rsid w:val="00D51C7B"/>
    <w:rsid w:val="00ED75CE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F3B737-FD0F-4074-BD46-D9879885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2685" w:hanging="1620"/>
    </w:pPr>
    <w:rPr>
      <w:rFonts w:ascii="Calibri" w:eastAsia="Calibri" w:hAnsi="Calibri" w:cs="Calibri"/>
      <w:color w:val="000000"/>
      <w:sz w:val="56"/>
    </w:rPr>
  </w:style>
  <w:style w:type="paragraph" w:styleId="Ttulo2">
    <w:name w:val="heading 2"/>
    <w:basedOn w:val="Normal"/>
    <w:link w:val="Ttulo2Char"/>
    <w:uiPriority w:val="9"/>
    <w:qFormat/>
    <w:rsid w:val="0013433E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3433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13433E"/>
    <w:rPr>
      <w:b/>
      <w:bCs/>
    </w:rPr>
  </w:style>
  <w:style w:type="character" w:customStyle="1" w:styleId="citation-0">
    <w:name w:val="citation-0"/>
    <w:basedOn w:val="Fontepargpadro"/>
    <w:rsid w:val="0013433E"/>
  </w:style>
  <w:style w:type="character" w:customStyle="1" w:styleId="citation-1">
    <w:name w:val="citation-1"/>
    <w:basedOn w:val="Fontepargpadro"/>
    <w:rsid w:val="0013433E"/>
  </w:style>
  <w:style w:type="character" w:customStyle="1" w:styleId="button-container">
    <w:name w:val="button-container"/>
    <w:basedOn w:val="Fontepargpadro"/>
    <w:rsid w:val="0013433E"/>
  </w:style>
  <w:style w:type="character" w:customStyle="1" w:styleId="citation-2">
    <w:name w:val="citation-2"/>
    <w:basedOn w:val="Fontepargpadro"/>
    <w:rsid w:val="0013433E"/>
  </w:style>
  <w:style w:type="character" w:customStyle="1" w:styleId="Ttulo2Char">
    <w:name w:val="Título 2 Char"/>
    <w:basedOn w:val="Fontepargpadro"/>
    <w:link w:val="Ttulo2"/>
    <w:uiPriority w:val="9"/>
    <w:rsid w:val="001343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bealho">
    <w:name w:val="header"/>
    <w:basedOn w:val="Normal"/>
    <w:link w:val="CabealhoChar"/>
    <w:uiPriority w:val="99"/>
    <w:unhideWhenUsed/>
    <w:rsid w:val="006352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2B8"/>
    <w:rPr>
      <w:rFonts w:ascii="Calibri" w:eastAsia="Calibri" w:hAnsi="Calibri" w:cs="Calibri"/>
      <w:color w:val="000000"/>
      <w:sz w:val="56"/>
    </w:rPr>
  </w:style>
  <w:style w:type="paragraph" w:styleId="Rodap">
    <w:name w:val="footer"/>
    <w:basedOn w:val="Normal"/>
    <w:link w:val="RodapChar"/>
    <w:uiPriority w:val="99"/>
    <w:unhideWhenUsed/>
    <w:rsid w:val="006352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2B8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3E35-E8D7-4F75-A1DB-F794C7E4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DEVT_A</dc:creator>
  <cp:keywords/>
  <cp:lastModifiedBy>DEVT_A</cp:lastModifiedBy>
  <cp:revision>9</cp:revision>
  <dcterms:created xsi:type="dcterms:W3CDTF">2025-02-11T18:00:00Z</dcterms:created>
  <dcterms:modified xsi:type="dcterms:W3CDTF">2025-02-11T19:23:00Z</dcterms:modified>
</cp:coreProperties>
</file>