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0"/>
          <w:szCs w:val="40"/>
        </w:rPr>
        <w:t xml:space="preserve">Cosmetic Bot — Avaliação com DeepEval</w:t>
      </w:r>
    </w:p>
    <w:p>
      <w:pPr>
        <w:spacing w:after="60"/>
      </w:pPr>
      <w:r>
        <w:rPr>
          <w:color w:val="555555"/>
          <w:sz w:val="26"/>
          <w:szCs w:val="26"/>
        </w:rPr>
        <w:t xml:space="preserve">Relatório final — Desafio do Mês 1</w:t>
      </w:r>
    </w:p>
    <w:p>
      <w:pPr>
        <w:spacing w:after="300"/>
      </w:pPr>
      <w:r>
        <w:rPr>
          <w:i/>
          <w:iCs/>
          <w:color w:val="777777"/>
          <w:sz w:val="20"/>
          <w:szCs w:val="20"/>
        </w:rPr>
        <w:t xml:space="preserve">Autor(a): [preencher]   |   Data: [preencher]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50" w:before="300"/>
      </w:pPr>
      <w:r>
        <w:t xml:space="preserve">1. Planejamento</w:t>
      </w:r>
    </w:p>
    <w:p>
      <w:pPr>
        <w:pStyle w:val="Heading2"/>
        <w:spacing w:after="120" w:before="240"/>
      </w:pPr>
      <w:r>
        <w:t xml:space="preserve">1.1 Escopo</w:t>
      </w:r>
    </w:p>
    <w:p>
      <w:pPr>
        <w:spacing w:after="160"/>
      </w:pPr>
      <w:r>
        <w:t xml:space="preserve">O objetivo deste trabalho não é melhorar o Cosmetic Bot, e sim construir uma suíte de avaliação reproduzível, com DeepEval, que meça de forma objetiva onde o bot acerta e onde erra ao responder perguntas de clientes sobre os produtos do catálogo (25 itens fictícios, campos: nome, marca, categoria, tipo de pele, preço e ingredientes).</w:t>
      </w:r>
    </w:p>
    <w:p>
      <w:pPr>
        <w:spacing w:after="160"/>
      </w:pPr>
      <w:r>
        <w:t xml:space="preserve">O bot é exposto por chatbot.py através da função perguntar(pergunta) -&gt; str, que monta um prompt de sistema (prompt.txt) e anexa o catálogo completo em JSON antes de chamar o provedor de LLM configurado (Ollama local, Gemini ou Groq).</w:t>
      </w:r>
    </w:p>
    <w:p>
      <w:pPr>
        <w:pStyle w:val="Heading2"/>
        <w:spacing w:after="120" w:before="240"/>
      </w:pPr>
      <w:r>
        <w:t xml:space="preserve">1.2 Riscos identificados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Alucinação de produto, preço ou ingrediente não presentes no catálogo.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Promessa de cura ou efeito terapêutico/medicinal — cosmético não é medicamento.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Garantia de resultado absoluto ("resolve de vez", "100% garantido").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Ausência de recusa em perguntas fora de escopo (diagnóstico médico, assuntos não relacionados).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Instabilidade do juiz quando um modelo pequeno (ex.: 3B) é usado — scores podem oscilar entre execuções.</w:t>
      </w:r>
    </w:p>
    <w:p>
      <w:pPr>
        <w:pStyle w:val="Heading2"/>
        <w:spacing w:after="120" w:before="240"/>
      </w:pPr>
      <w:r>
        <w:t xml:space="preserve">1.3 Thresholds definidos</w:t>
      </w:r>
    </w:p>
    <w:p>
      <w:pPr>
        <w:spacing w:after="160"/>
      </w:pPr>
      <w:r>
        <w:t xml:space="preserve">Os três thresholds seguem o mínimo definido no desafio: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Métrica A — Answer Relevancy ≥ 0,70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Métrica B — Faithfulness ≥ 0,80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Métrica C — G-Eval "Conformidade de Claims" ≥ 0,80</w:t>
      </w:r>
    </w:p>
    <w:p>
      <w:pPr>
        <w:spacing w:after="160"/>
      </w:pPr>
      <w:r>
        <w:t xml:space="preserve">Modelo(s) usados: bot = [preencher provedor/modelo]; juiz = [preencher provedor/modelo]. Ver observação da seção 1.2 sobre estabilidade caso o juiz seja um modelo pequeno.</w:t>
      </w:r>
    </w:p>
    <w:p>
      <w:pPr>
        <w:pStyle w:val="Heading1"/>
        <w:spacing w:after="150" w:before="300"/>
      </w:pPr>
      <w:r>
        <w:t xml:space="preserve">2. Dataset e técnicas de design</w:t>
      </w:r>
    </w:p>
    <w:p>
      <w:pPr>
        <w:spacing w:after="160"/>
      </w:pPr>
      <w:r>
        <w:t xml:space="preserve">O golden dataset (dataset/golden_dataset.py) contém 13 casos, cobrindo as 4 categorias exigidas, cada um com input, critério esperado em texto e o trecho do catálogo usado como contexto de referência (retrieval_context) para a métrica de Faithfulness.</w:t>
      </w:r>
    </w:p>
    <w:p>
      <w:pPr>
        <w:pStyle w:val="Heading2"/>
        <w:spacing w:after="120" w:before="240"/>
      </w:pPr>
      <w:r>
        <w:t xml:space="preserve">2.1 Consulta direta (3 casos)</w:t>
      </w:r>
    </w:p>
    <w:p>
      <w:pPr>
        <w:spacing w:after="160"/>
      </w:pPr>
      <w:r>
        <w:t xml:space="preserve">Perguntas objetivas sobre preço, ingrediente e listagem de uma categoria — checam se o bot recupera informação exata do catálogo sem alterar valores.</w:t>
      </w:r>
    </w:p>
    <w:p>
      <w:pPr>
        <w:pStyle w:val="Heading2"/>
        <w:spacing w:after="120" w:before="240"/>
      </w:pPr>
      <w:r>
        <w:t xml:space="preserve">2.2 Recomendação por perfil (4 casos) — tabela de decisão</w:t>
      </w:r>
    </w:p>
    <w:p>
      <w:pPr>
        <w:spacing w:after="160"/>
      </w:pPr>
      <w:r>
        <w:t xml:space="preserve">Desenhados com uma tabela de decisão cruzando tipo de pele × necessidade, técnica de design de teste clássica para garantir cobertura sistemática de combinações relevantes em vez de casos aleatórios: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Tipo de pele</w:t>
            </w:r>
          </w:p>
        </w:tc>
        <w:tc>
          <w:tcPr>
            <w:tcW w:type="dxa" w:w="216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Necessidade</w:t>
            </w:r>
          </w:p>
        </w:tc>
        <w:tc>
          <w:tcPr>
            <w:tcW w:type="dxa" w:w="54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Produto esperado (catálogo)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oleosa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</w:rPr>
              <w:t xml:space="preserve">limpeza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</w:rPr>
              <w:t xml:space="preserve">Gel de Limpeza Facial Purificante — Dermalys (id 1)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seca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</w:rPr>
              <w:t xml:space="preserve">hidratação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</w:rPr>
              <w:t xml:space="preserve">Hidratante Facial Ultra — Vellure (id 4)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sensível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</w:rPr>
              <w:t xml:space="preserve">limpeza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</w:rPr>
              <w:t xml:space="preserve">Sabonete Facial Suave — Bioraiz (id 2)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sensível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</w:rPr>
              <w:t xml:space="preserve">proteção solar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</w:rPr>
              <w:t xml:space="preserve">Protetor Solar Mineral FPS 45 — Bioraiz (id 12)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mista</w:t>
            </w:r>
          </w:p>
        </w:tc>
        <w:tc>
          <w:tcPr>
            <w:tcW w:type="dxa" w:w="2160"/>
          </w:tcPr>
          <w:p>
            <w:r>
              <w:rPr>
                <w:b w:val="false"/>
                <w:bCs w:val="false"/>
                <w:color w:val="000000"/>
              </w:rPr>
              <w:t xml:space="preserve">sérum/tratamento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  <w:color w:val="000000"/>
              </w:rPr>
              <w:t xml:space="preserve">Sérum de Niacinamida 10% — Dermalys (id 8)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t xml:space="preserve">2.3 Fora de escopo (3 casos)</w:t>
      </w:r>
    </w:p>
    <w:p>
      <w:pPr>
        <w:spacing w:after="160"/>
      </w:pPr>
      <w:r>
        <w:t xml:space="preserve">Diagnóstico médico direto, pergunta totalmente não relacionada (previsão do tempo) e pedido de conteúdo não relacionado a cosméticos (poema) — o bot deve recusar educadamente em vez de tentar responder para não deixar o cliente sem resposta.</w:t>
      </w:r>
    </w:p>
    <w:p>
      <w:pPr>
        <w:pStyle w:val="Heading2"/>
        <w:spacing w:after="120" w:before="240"/>
      </w:pPr>
      <w:r>
        <w:t xml:space="preserve">2.4 Adversarial (3 casos)</w:t>
      </w:r>
    </w:p>
    <w:p>
      <w:pPr>
        <w:spacing w:after="160"/>
      </w:pPr>
      <w:r>
        <w:t xml:space="preserve">Indução a prometer cura de acne persistente, pergunta sobre um produto que não existe no catálogo (testa invenção) e indução a confirmar resultado absoluto em prazo curto.</w:t>
      </w:r>
    </w:p>
    <w:p>
      <w:pPr>
        <w:pStyle w:val="Heading1"/>
        <w:spacing w:after="150" w:before="300"/>
      </w:pPr>
      <w:r>
        <w:t xml:space="preserve">3. Metodologia de avaliação</w:t>
      </w:r>
    </w:p>
    <w:p>
      <w:pPr>
        <w:spacing w:after="160"/>
      </w:pPr>
      <w:r>
        <w:t xml:space="preserve">A suíte (tests/test_suite.py) roda via "deepeval test run", chama o bot de verdade para cada caso do dataset e mede: Answer Relevancy e G-Eval em todos os 13 casos; Faithfulness nos casos que têm retrieval_context (consulta direta, recomendação por perfil e adversarial — 10 dos 13 casos). Cada execução grava score e motivo do juiz em results/&lt;baseline|final&gt;.csv, permitindo comparação quantitativa entre as duas versões do prompt.</w:t>
      </w:r>
    </w:p>
    <w:p>
      <w:pPr>
        <w:pStyle w:val="Heading1"/>
        <w:spacing w:after="150" w:before="300"/>
      </w:pPr>
      <w:r>
        <w:t xml:space="preserve">4. Resultados — baseline × final</w:t>
      </w:r>
    </w:p>
    <w:p>
      <w:pPr>
        <w:spacing w:after="160"/>
      </w:pPr>
      <w:r>
        <w:t xml:space="preserve">Baseline: prompt_baseline.txt (versão original, propositalmente problemática). Final: prompt.txt (versão corrigida — ver seção 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60"/>
        <w:gridCol w:w="1800"/>
        <w:gridCol w:w="1800"/>
        <w:gridCol w:w="1600"/>
      </w:tblGrid>
      <w:tr>
        <w:tc>
          <w:tcPr>
            <w:tcW w:type="dxa" w:w="2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136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Threshold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Baseline (média)</w:t>
            </w:r>
          </w:p>
        </w:tc>
        <w:tc>
          <w:tcPr>
            <w:tcW w:type="dxa" w:w="18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Final (média)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Δ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Answer Relevancy</w:t>
            </w:r>
          </w:p>
        </w:tc>
        <w:tc>
          <w:tcPr>
            <w:tcW w:type="dxa" w:w="1360"/>
          </w:tcPr>
          <w:p>
            <w:r>
              <w:rPr>
                <w:b w:val="false"/>
                <w:bCs w:val="false"/>
                <w:color w:val="000000"/>
              </w:rPr>
              <w:t xml:space="preserve">≥ 0,70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[preencher]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[preencher]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[preencher]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Faithfulness</w:t>
            </w:r>
          </w:p>
        </w:tc>
        <w:tc>
          <w:tcPr>
            <w:tcW w:type="dxa" w:w="1360"/>
          </w:tcPr>
          <w:p>
            <w:r>
              <w:rPr>
                <w:b w:val="false"/>
                <w:bCs w:val="false"/>
                <w:color w:val="000000"/>
              </w:rPr>
              <w:t xml:space="preserve">≥ 0,80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[preencher]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[preencher]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[preencher]</w:t>
            </w:r>
          </w:p>
        </w:tc>
      </w:tr>
      <w:tr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</w:rPr>
              <w:t xml:space="preserve">G-Eval — Conformidade de Claims</w:t>
            </w:r>
          </w:p>
        </w:tc>
        <w:tc>
          <w:tcPr>
            <w:tcW w:type="dxa" w:w="1360"/>
          </w:tcPr>
          <w:p>
            <w:r>
              <w:rPr>
                <w:b w:val="false"/>
                <w:bCs w:val="false"/>
                <w:color w:val="000000"/>
              </w:rPr>
              <w:t xml:space="preserve">≥ 0,80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[preencher]</w:t>
            </w:r>
          </w:p>
        </w:tc>
        <w:tc>
          <w:tcPr>
            <w:tcW w:type="dxa" w:w="1800"/>
          </w:tcPr>
          <w:p>
            <w:r>
              <w:rPr>
                <w:b w:val="false"/>
                <w:bCs w:val="false"/>
                <w:color w:val="000000"/>
              </w:rPr>
              <w:t xml:space="preserve">[preencher]</w:t>
            </w:r>
          </w:p>
        </w:tc>
        <w:tc>
          <w:tcPr>
            <w:tcW w:type="dxa" w:w="1600"/>
          </w:tcPr>
          <w:p>
            <w:r>
              <w:rPr>
                <w:b w:val="false"/>
                <w:bCs w:val="false"/>
                <w:color w:val="000000"/>
              </w:rPr>
              <w:t xml:space="preserve">[preencher]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i/>
          <w:iCs/>
          <w:color w:val="B00020"/>
        </w:rPr>
        <w:t xml:space="preserve">[PREENCHER APÓS RODAR A SUÍTE — preencher as médias e deltas a partir de results/comparar.py]</w:t>
      </w:r>
    </w:p>
    <w:p>
      <w:pPr>
        <w:pStyle w:val="Heading1"/>
        <w:spacing w:after="150" w:before="300"/>
      </w:pPr>
      <w:r>
        <w:t xml:space="preserve">5. O que foi corrigido no prompt e por quê</w:t>
      </w:r>
    </w:p>
    <w:p>
      <w:pPr>
        <w:spacing w:after="160"/>
      </w:pPr>
      <w:r>
        <w:t xml:space="preserve">O prompt baseline instruía o bot a: nunca deixar o cliente sem resposta, recomendar produto que "resolve o problema de vez" e usar bastante emoji. Isso favorece diretamente os três riscos da seção 1.2. A versão final: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restringe as respostas ao catálogo fornecido, com recusa explícita quando o item não existe;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proíbe promessas de cura/tratamento e resultado garantido/absoluto;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exige orientação para procurar um dermatologista em relatos de condição persistente ou grave;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autoriza e instrui a recusa educada em perguntas fora de escopo;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reduz o uso de emoji a opcional e moderado.</w:t>
      </w:r>
    </w:p>
    <w:p>
      <w:pPr>
        <w:pStyle w:val="Heading1"/>
        <w:spacing w:after="150" w:before="300"/>
      </w:pPr>
      <w:r>
        <w:t xml:space="preserve">6. Análise das falhas</w:t>
      </w:r>
    </w:p>
    <w:p>
      <w:pPr>
        <w:spacing w:after="160"/>
      </w:pPr>
      <w:r>
        <w:t xml:space="preserve">Casos que falharam no baseline (por categoria e métrica), com trecho do motivo ("reason") dado pelo juiz:</w:t>
      </w:r>
    </w:p>
    <w:p>
      <w:pPr>
        <w:spacing w:after="160"/>
      </w:pPr>
      <w:r>
        <w:rPr>
          <w:i/>
          <w:iCs/>
          <w:color w:val="B00020"/>
        </w:rPr>
        <w:t xml:space="preserve">[PREENCHER APÓS RODAR A SUÍTE — listar os casos com is_successful=False no baseline.csv, citando o reason do DeepEval para cada um]</w:t>
      </w:r>
    </w:p>
    <w:p>
      <w:pPr>
        <w:spacing w:after="160"/>
      </w:pPr>
      <w:r>
        <w:t xml:space="preserve">Casos que continuaram falhando mesmo na versão final (se houver) e hipótese do porquê:</w:t>
      </w:r>
    </w:p>
    <w:p>
      <w:pPr>
        <w:spacing w:after="160"/>
      </w:pPr>
      <w:r>
        <w:rPr>
          <w:i/>
          <w:iCs/>
          <w:color w:val="B00020"/>
        </w:rPr>
        <w:t xml:space="preserve">[PREENCHER APÓS RODAR A SUÍTE — preencher com base em final.csv]</w:t>
      </w:r>
    </w:p>
    <w:p>
      <w:pPr>
        <w:pStyle w:val="Heading1"/>
        <w:spacing w:after="150" w:before="300"/>
      </w:pPr>
      <w:r>
        <w:t xml:space="preserve">7. Conclusão</w:t>
      </w:r>
    </w:p>
    <w:p>
      <w:pPr>
        <w:spacing w:after="160"/>
      </w:pPr>
      <w:r>
        <w:rPr>
          <w:i/>
          <w:iCs/>
          <w:color w:val="B00020"/>
        </w:rPr>
        <w:t xml:space="preserve">[PREENCHER APÓS RODAR A SUÍTE — resumir em 3-5 linhas: o quanto o prompt final melhorou cada métrica, se algum threshold ainda não foi atingido, e uma recomendação de próximo passo (ex.: ampliar o dataset, trocar o juiz por um modelo mais forte, adicionar guardrails de negação de produto fora do catálogo)]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2026-08-25T10:50:35.633Z</dcterms:created>
  <dcterms:modified xsi:type="dcterms:W3CDTF">2026-08-25T10:50:35.633Z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