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Worked Example: Ecosystem Services Account -- Coastal District</w:t>
      </w:r>
    </w:p>
    <w:p>
      <w:r>
        <w:rPr>
          <w:rFonts w:ascii="Arial" w:hAnsi="Arial"/>
          <w:b w:val="0"/>
          <w:color w:val="3B9C7B"/>
          <w:sz w:val="22"/>
        </w:rPr>
        <w:t>Accounting area: illustrative coastal district with coral reefs, seagrass beds, and mangroves  |  Year: 2023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Three ecosystem types supply services to the local economy. Part A (physical units) is the core account; Part B (monetary) supplements it.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of Ecosystem Services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CICES</w:t>
              <w:br/>
              <w:t>category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(fuel)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CO₂/yr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  <w:br/>
              <w:t>protected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</w:t>
              <w:br/>
              <w:t>exported/yr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Sediment retention /</w:t>
              <w:br/>
              <w:t>carbonate production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m³ CaCO₃/yr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(reef</w:t>
              <w:br/>
              <w:t>diving/snorkelling)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(mangrove</w:t>
              <w:br/>
              <w:t>kayak/birdwatch)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trips/yr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  <w:br/>
              <w:t>(invertebrate harvest)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Dashes (--) indicate that the ecosystem type does not supply the service or the flow is negligible. Carbon sequestration counts only annual burial, not standing stock.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of Ecosystem Services (Part B -- USD/year)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(USD/yr)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144,000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(fuel)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 price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5,100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5,100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Social cost of</w:t>
              <w:br/>
              <w:t>carbon (USD 51/t)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53,040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66,045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119,085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Avoided damage</w:t>
              <w:br/>
              <w:t>cost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1,440,000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1,860,000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</w:t>
              <w:br/>
              <w:t>change method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56,000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146,000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Sediment retention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</w:t>
              <w:br/>
              <w:t>cost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252,000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252,000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(reef)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</w:t>
              <w:br/>
              <w:t>expenditure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1,050,000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1,050,000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 (mangrove)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</w:t>
              <w:br/>
              <w:t>expenditure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62,400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62,400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</w:t>
              <w:br/>
              <w:t>wage (USD 2.5/hr)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2,928,000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193,040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565,545</w:t>
            </w:r>
          </w:p>
        </w:tc>
        <w:tc>
          <w:tcPr>
            <w:tcW w:type="dxa" w:w="2020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3,686,585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Total annual value of ecosystem services is estimated at USD 3,686,585. Coastal protection (USD 1,860,000) and recreation (USD 1,112,400 combined) dominate total value, accounting for approximately 81% of the total. Fish provisioning -- often assumed to be the dominant service -- represents only about 4% of the monetary total (USD 144,000). This highlights a common finding: regulating and cultural services frequently exceed provisioning services in economic value, supporting the case for ecosystem conservation.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Methodological notes: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Fish provisioning valued at resource rent (market price minus production costs), not gross revenue. Carbon sequestration uses the US EPA social cost of carbon (USD 51/tCO₂, 2020 value). Coastal protection based on avoided damage to coastal infrastructure using storm damage functions. Gleaning valued at local equivalent wage rate as subsistence activity has no market price.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