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A5455"/>
          <w:sz w:val="36"/>
        </w:rPr>
        <w:t>GOAP Example Ocean Account Tables</w:t>
      </w:r>
    </w:p>
    <w:p>
      <w:pPr>
        <w:jc w:val="center"/>
      </w:pPr>
      <w:r>
        <w:rPr>
          <w:rFonts w:ascii="Arial" w:hAnsi="Arial"/>
          <w:color w:val="30302F"/>
          <w:sz w:val="22"/>
        </w:rPr>
        <w:t>Illustrative data for a hypothetical coastal ecosystem accounting area</w:t>
      </w:r>
    </w:p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1 -- Extent Account (ha)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Ecosystem type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Opening extent</w:t>
              <w:br/>
              <w:t>(2018)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Additions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Reductions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Net change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Closing extent</w:t>
              <w:br/>
              <w:t>(2023)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1 240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-60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1 180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 beds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860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-35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825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315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+25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340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Other marine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7 585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+70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7 655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235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235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1b -- Extent Time-Series (ha)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Ecosystem type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2010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2014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2018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2023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 change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% change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1 340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1 290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1 240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1 180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-160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-11.9%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 beds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920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890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860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825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-95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-10.3%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Mangroves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280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295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315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340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+60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+21.4%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0.0%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2 -- Ecosystem Extent Change Matrix (ha, 2018-2023)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From \ To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Other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Opening total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D4EEE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1 140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1 240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 beds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D4EEE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790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860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D4EEE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315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Other marine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D4EEE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7 500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7 585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Closing total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1 180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825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340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7 655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10 000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3 -- Ecosystem Condition Account (Coral Reef)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Reference</w:t>
              <w:br/>
              <w:t>level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Opening CI</w:t>
              <w:br/>
              <w:t>(2018)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Closing CI</w:t>
              <w:br/>
              <w:t>(2023)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Live coral cover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%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0.75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0.68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-0.07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Macroalgae cover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%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0.60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0.52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-0.08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 biomass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kg/ha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500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0.82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0.78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-0.04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recruit density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per m²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0.63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0.55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-0.08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Reef structural relief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index 1-5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4.0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0.70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0.65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-0.05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Bleaching prevalence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% colonies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0.80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0.60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-0.20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Declining</w:t>
            </w:r>
          </w:p>
        </w:tc>
      </w:tr>
      <w:tr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Composite Condition Index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average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0.72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0.63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-0.09</w:t>
            </w:r>
          </w:p>
        </w:tc>
        <w:tc>
          <w:tcPr>
            <w:tcW w:type="dxa" w:w="2020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Declining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4a -- Ecosystem Services Supply (Physical Units)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kg/yr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45 000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28 000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91 000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Mg CO₂/yr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3 800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5 600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10 600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m shoreline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4 500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24 700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Nursery habitat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kg recruits/yr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8 500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26 700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Recreation &amp; tourism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visitors/yr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85 000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22 000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122 000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Gleaning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hours/yr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6 800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1 500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11 500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4b -- Ecosystem Services Supply (Monetary, USD/yr)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Valuation method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Resource rent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630 000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336 000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198 000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1 164 000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Social cost of carbon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190 000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280 000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530 000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Replacement cost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2 400 000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540 000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1 640 000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4 580 000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Recreation &amp; tourism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Expenditure method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4 250 000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375 000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660 000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5 285 000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Gleaning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Equivalent wage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19 200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40 800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9 000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69 000</w:t>
            </w:r>
          </w:p>
        </w:tc>
      </w:tr>
      <w:tr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7 359 200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1 481 800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2 787 000</w:t>
            </w:r>
          </w:p>
        </w:tc>
        <w:tc>
          <w:tcPr>
            <w:tcW w:type="dxa" w:w="235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11 628 000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4c -- Ecosystem Service Physical Use (Part A): Who Benefits?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Fisheries</w:t>
              <w:br/>
              <w:t>sector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Tourism</w:t>
              <w:br/>
              <w:t>sector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</w:t>
              <w:br/>
              <w:t>households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Government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Global</w:t>
              <w:br/>
              <w:t>community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kg/yr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180 000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180 000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Mg CO2/yr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2 335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2 335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m coastline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5 500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15 500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Nursery habitat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kg/yr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7 300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7 300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Recreation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visitors/yr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2 400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17 400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Gleaning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hours/yr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18 000</w:t>
            </w:r>
          </w:p>
        </w:tc>
      </w:tr>
    </w:tbl>
    <w:p>
      <w:pPr>
        <w:spacing w:before="80" w:after="80"/>
        <w:jc w:val="left"/>
      </w:pPr>
      <w:r>
        <w:rPr>
          <w:i/>
        </w:rPr>
        <w:t>Supply is organized by ecosystem. Use is organized by beneficiary. Same quantities, different perspective.</w:t>
      </w:r>
    </w:p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4d -- Ecosystem Service Monetary Use (Part B): USD/yr by Beneficiary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Fisheries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Tourism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HH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Government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Global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Resource rent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210 000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210 000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SCC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119 085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119 085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Replacement cost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880 000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495 000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1 375 000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Nursery habitat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Productivity change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127 750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127 750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Recreation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Expenditure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1 275 000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84 000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1 359 000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Gleaning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Equiv. wage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63 000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63 000</w:t>
            </w:r>
          </w:p>
        </w:tc>
      </w:tr>
      <w:tr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337 750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1 275 000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1 027 000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495 000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119 085</w:t>
            </w:r>
          </w:p>
        </w:tc>
        <w:tc>
          <w:tcPr>
            <w:tcW w:type="dxa" w:w="1767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3 253 835</w:t>
            </w:r>
          </w:p>
        </w:tc>
      </w:tr>
    </w:tbl>
    <w:p>
      <w:pPr>
        <w:spacing w:before="80" w:after="80"/>
        <w:jc w:val="left"/>
      </w:pPr>
      <w:r>
        <w:rPr>
          <w:i/>
        </w:rPr>
        <w:t>Tourism sector receives the most value (39%). Coastal households receive 32% (protection + gleaning + mangrove recreation).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0A5455"/>
          <w:sz w:val="26"/>
        </w:rPr>
        <w:t>Table 4e -- Supply and Use of Ecosystem Services (SEEA EA Table 7.1)</w:t>
      </w:r>
    </w:p>
    <w:p>
      <w:pPr>
        <w:spacing w:before="80" w:after="80"/>
        <w:jc w:val="left"/>
      </w:pPr>
      <w:r>
        <w:rPr>
          <w:b/>
        </w:rPr>
        <w:t>SUPPLY TABLE (Table 7.1a)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6528"/>
            <w:gridSpan w:val="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Economic units</w:t>
            </w:r>
          </w:p>
        </w:tc>
        <w:tc>
          <w:tcPr>
            <w:tcW w:type="dxa" w:w="3264"/>
            <w:gridSpan w:val="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Ecosystem types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Fisheries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Tourism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Other industry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Households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Govt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Global/</w:t>
              <w:br/>
              <w:t>Exports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reefs</w:t>
              <w:br/>
              <w:t>(M1.3)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</w:t>
              <w:br/>
              <w:t>(M1.1)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Mangroves</w:t>
              <w:br/>
              <w:t>(MFT1.2)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  <w:br/>
              <w:t>ecosystem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3B9C7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4144"/>
            <w:gridSpan w:val="1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D5E8D4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/>
                <w:color w:val="404040"/>
                <w:sz w:val="18"/>
              </w:rPr>
            </w:r>
            <w:r>
              <w:rPr>
                <w:rFonts w:ascii="Arial" w:hAnsi="Arial"/>
                <w:b/>
                <w:i/>
                <w:color w:val="404040"/>
                <w:sz w:val="18"/>
              </w:rPr>
              <w:t>Provisioning services (6.1)</w:t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</w:r>
            <w:r>
              <w:rPr>
                <w:rFonts w:ascii="Arial" w:hAnsi="Arial"/>
                <w:b w:val="0"/>
                <w:color w:val="FFFFFF"/>
                <w:sz w:val="18"/>
              </w:rPr>
              <w:t>kg/yr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120,000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45,000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15,000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180,000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180,000</w:t>
            </w:r>
          </w:p>
        </w:tc>
      </w:tr>
      <w:tr>
        <w:tc>
          <w:tcPr>
            <w:tcW w:type="dxa" w:w="14144"/>
            <w:gridSpan w:val="1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D5E8D4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/>
                <w:color w:val="404040"/>
                <w:sz w:val="18"/>
              </w:rPr>
            </w:r>
            <w:r>
              <w:rPr>
                <w:rFonts w:ascii="Arial" w:hAnsi="Arial"/>
                <w:b/>
                <w:i/>
                <w:color w:val="404040"/>
                <w:sz w:val="18"/>
              </w:rPr>
              <w:t>Regulating &amp; maintenance services (6.2–6.5)</w:t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</w:r>
            <w:r>
              <w:rPr>
                <w:rFonts w:ascii="Arial" w:hAnsi="Arial"/>
                <w:b w:val="0"/>
                <w:color w:val="FFFFFF"/>
                <w:sz w:val="18"/>
              </w:rPr>
              <w:t>Mg CO₂/yr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1,040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1,295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2,335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2,335</w:t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</w:r>
            <w:r>
              <w:rPr>
                <w:rFonts w:ascii="Arial" w:hAnsi="Arial"/>
                <w:b w:val="0"/>
                <w:color w:val="FFFFFF"/>
                <w:sz w:val="18"/>
              </w:rPr>
              <w:t>m of coastline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12,000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3,500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15,500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15,500</w:t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Nursery habitat support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</w:r>
            <w:r>
              <w:rPr>
                <w:rFonts w:ascii="Arial" w:hAnsi="Arial"/>
                <w:b w:val="0"/>
                <w:color w:val="FFFFFF"/>
                <w:sz w:val="18"/>
              </w:rPr>
              <w:t>kg fish/yr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4,500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2,800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7,300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7,300</w:t>
            </w:r>
          </w:p>
        </w:tc>
      </w:tr>
      <w:tr>
        <w:tc>
          <w:tcPr>
            <w:tcW w:type="dxa" w:w="14144"/>
            <w:gridSpan w:val="1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D5E8D4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/>
                <w:color w:val="404040"/>
                <w:sz w:val="18"/>
              </w:rPr>
            </w:r>
            <w:r>
              <w:rPr>
                <w:rFonts w:ascii="Arial" w:hAnsi="Arial"/>
                <w:b/>
                <w:i/>
                <w:color w:val="404040"/>
                <w:sz w:val="18"/>
              </w:rPr>
              <w:t>Cultural services (6.6)</w:t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Recreation &amp; tourism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</w:r>
            <w:r>
              <w:rPr>
                <w:rFonts w:ascii="Arial" w:hAnsi="Arial"/>
                <w:b w:val="0"/>
                <w:color w:val="FFFFFF"/>
                <w:sz w:val="18"/>
              </w:rPr>
              <w:t>visitors/yr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15,000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2,400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17,400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17,400</w:t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Gleaning (subsistence harvest)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</w:r>
            <w:r>
              <w:rPr>
                <w:rFonts w:ascii="Arial" w:hAnsi="Arial"/>
                <w:b w:val="0"/>
                <w:color w:val="FFFFFF"/>
                <w:sz w:val="18"/>
              </w:rPr>
              <w:t>hours/yr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18,000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18,000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18,000</w:t>
            </w:r>
          </w:p>
        </w:tc>
      </w:tr>
    </w:tbl>
    <w:p/>
    <w:p>
      <w:pPr>
        <w:spacing w:before="80" w:after="80"/>
        <w:jc w:val="left"/>
      </w:pPr>
      <w:r>
        <w:rPr>
          <w:b/>
        </w:rPr>
        <w:t>USE TABLE (Table 7.1b)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2C745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2C745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6528"/>
            <w:gridSpan w:val="6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2C745B" w:val="clear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Economic units</w:t>
            </w:r>
          </w:p>
        </w:tc>
        <w:tc>
          <w:tcPr>
            <w:tcW w:type="dxa" w:w="3264"/>
            <w:gridSpan w:val="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2C745B" w:val="clear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Ecosystem types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2C745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2C745B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Unit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Fisheries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Tourism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Other industry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Households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Govt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Global/</w:t>
              <w:br/>
              <w:t>Exports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Coral reefs</w:t>
              <w:br/>
              <w:t>(M1.3)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Seagrass</w:t>
              <w:br/>
              <w:t>(M1.1)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Mangroves</w:t>
              <w:br/>
              <w:t>(MFT1.2)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  <w:br/>
              <w:t>ecosystem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3B9C7B" w:val="clear"/>
            <w:shd w:fill="2C745B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4144"/>
            <w:gridSpan w:val="1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B2D8D8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/>
                <w:color w:val="404040"/>
                <w:sz w:val="18"/>
              </w:rPr>
            </w:r>
            <w:r>
              <w:rPr>
                <w:rFonts w:ascii="Arial" w:hAnsi="Arial"/>
                <w:b/>
                <w:i/>
                <w:color w:val="404040"/>
                <w:sz w:val="18"/>
              </w:rPr>
              <w:t>Provisioning services (6.1)</w:t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</w:r>
            <w:r>
              <w:rPr>
                <w:rFonts w:ascii="Arial" w:hAnsi="Arial"/>
                <w:b w:val="0"/>
                <w:color w:val="FFFFFF"/>
                <w:sz w:val="18"/>
              </w:rPr>
              <w:t>kg/yr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180,000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180,000</w:t>
            </w:r>
          </w:p>
        </w:tc>
      </w:tr>
      <w:tr>
        <w:tc>
          <w:tcPr>
            <w:tcW w:type="dxa" w:w="14144"/>
            <w:gridSpan w:val="1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B2D8D8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/>
                <w:color w:val="404040"/>
                <w:sz w:val="18"/>
              </w:rPr>
            </w:r>
            <w:r>
              <w:rPr>
                <w:rFonts w:ascii="Arial" w:hAnsi="Arial"/>
                <w:b/>
                <w:i/>
                <w:color w:val="404040"/>
                <w:sz w:val="18"/>
              </w:rPr>
              <w:t>Regulating &amp; maintenance services (6.2–6.5)</w:t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</w:r>
            <w:r>
              <w:rPr>
                <w:rFonts w:ascii="Arial" w:hAnsi="Arial"/>
                <w:b w:val="0"/>
                <w:color w:val="FFFFFF"/>
                <w:sz w:val="18"/>
              </w:rPr>
              <w:t>Mg CO₂/yr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2,335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2,335</w:t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</w:r>
            <w:r>
              <w:rPr>
                <w:rFonts w:ascii="Arial" w:hAnsi="Arial"/>
                <w:b w:val="0"/>
                <w:color w:val="FFFFFF"/>
                <w:sz w:val="18"/>
              </w:rPr>
              <w:t>m of coastline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10,000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5,500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15,500</w:t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Nursery habitat support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</w:r>
            <w:r>
              <w:rPr>
                <w:rFonts w:ascii="Arial" w:hAnsi="Arial"/>
                <w:b w:val="0"/>
                <w:color w:val="FFFFFF"/>
                <w:sz w:val="18"/>
              </w:rPr>
              <w:t>kg fish/yr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7,300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7,300</w:t>
            </w:r>
          </w:p>
        </w:tc>
      </w:tr>
      <w:tr>
        <w:tc>
          <w:tcPr>
            <w:tcW w:type="dxa" w:w="14144"/>
            <w:gridSpan w:val="13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B2D8D8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i/>
                <w:color w:val="404040"/>
                <w:sz w:val="18"/>
              </w:rPr>
            </w:r>
            <w:r>
              <w:rPr>
                <w:rFonts w:ascii="Arial" w:hAnsi="Arial"/>
                <w:b/>
                <w:i/>
                <w:color w:val="404040"/>
                <w:sz w:val="18"/>
              </w:rPr>
              <w:t>Cultural services (6.6)</w:t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Recreation &amp; tourism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</w:r>
            <w:r>
              <w:rPr>
                <w:rFonts w:ascii="Arial" w:hAnsi="Arial"/>
                <w:b w:val="0"/>
                <w:color w:val="FFFFFF"/>
                <w:sz w:val="18"/>
              </w:rPr>
              <w:t>visitors/yr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15,000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2,400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17,400</w:t>
            </w:r>
          </w:p>
        </w:tc>
      </w:tr>
      <w:tr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Gleaning (subsistence harvest)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  <w:shd w:fill="0A5455" w:val="clear"/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FFFFFF"/>
                <w:sz w:val="18"/>
              </w:rPr>
            </w:r>
            <w:r>
              <w:rPr>
                <w:rFonts w:ascii="Arial" w:hAnsi="Arial"/>
                <w:b w:val="0"/>
                <w:color w:val="FFFFFF"/>
                <w:sz w:val="18"/>
              </w:rPr>
              <w:t>hours/yr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18,000</w:t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1088"/>
            <w:tcBorders>
              <w:top w:val="single" w:sz="8" w:space="0" w:color="404040"/>
              <w:left w:val="single" w:sz="8" w:space="0" w:color="404040"/>
              <w:bottom w:val="single" w:sz="8" w:space="0" w:color="404040"/>
              <w:right w:val="single" w:sz="8" w:space="0" w:color="404040"/>
            </w:tcBorders>
          </w:tcPr>
          <w:p>
            <w:pPr>
              <w:spacing w:before="80" w:after="80"/>
              <w:jc w:val="center"/>
            </w:pPr>
            <w:r>
              <w:rPr>
                <w:rFonts w:ascii="Arial" w:hAnsi="Arial"/>
                <w:b w:val="0"/>
                <w:color w:val="30302F"/>
                <w:sz w:val="20"/>
              </w:rPr>
            </w:r>
            <w:r>
              <w:rPr>
                <w:rFonts w:ascii="Arial" w:hAnsi="Arial"/>
                <w:b w:val="0"/>
                <w:color w:val="30302F"/>
                <w:sz w:val="20"/>
              </w:rPr>
              <w:t>18,000</w:t>
            </w:r>
          </w:p>
        </w:tc>
      </w:tr>
    </w:tbl>
    <w:p>
      <w:pPr>
        <w:spacing w:before="80" w:after="80"/>
        <w:jc w:val="left"/>
      </w:pPr>
      <w:r>
        <w:rPr>
          <w:i/>
        </w:rPr>
        <w:t>Format follows SEEA EA Table 7.1 (supply and use of ecosystem services). Supply table shows which ecosystems generate each service; use table shows which economic sectors benefit. Carbon sequestration use is allocated to Global/Exports.</w:t>
      </w:r>
    </w:p>
    <w:sectPr w:rsidR="00FC693F" w:rsidRPr="0006063C" w:rsidSect="00034616">
      <w:pgSz w:w="15840" w:h="122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