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 w:val="0"/>
          <w:color w:val="0A5455"/>
          <w:sz w:val="32"/>
        </w:rPr>
        <w:t>Worked Example: Waste and Emissions -- Coastal Country</w:t>
      </w:r>
    </w:p>
    <w:p>
      <w:r>
        <w:rPr>
          <w:rFonts w:ascii="Arial" w:hAnsi="Arial"/>
          <w:b w:val="0"/>
          <w:color w:val="3B9C7B"/>
          <w:sz w:val="22"/>
        </w:rPr>
        <w:t>SEEA-CF framework: tracking flows of residuals from the economy to the marine environment  |  Year: 2022</w:t>
      </w: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Illustrative mid-income coastal country (~15 million population, mixed agricultural/industrial/service economy). Data compiled from environmental ministry reports, port authority records, and UNEP Global Wastewater Initiative.</w:t>
      </w:r>
    </w:p>
    <w:p/>
    <w:p>
      <w:r>
        <w:rPr>
          <w:rFonts w:ascii="Arial" w:hAnsi="Arial"/>
          <w:b w:val="0"/>
          <w:color w:val="0A5455"/>
          <w:sz w:val="32"/>
        </w:rPr>
        <w:t>Table 9: Water Emissions to the Marine Environment (tonnes/year)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Source sector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Nitrogen</w:t>
              <w:br/>
              <w:t>(tonnes N/yr)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Phosphorus</w:t>
              <w:br/>
              <w:t>(tonnes P/yr)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BOD</w:t>
              <w:br/>
              <w:t>(tonnes O₂/yr)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Heavy metals</w:t>
              <w:br/>
              <w:t>(tonnes/yr)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 load</w:t>
              <w:br/>
              <w:t>(tonnes/yr)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Agriculture (fertiliser</w:t>
              <w:br/>
              <w:t>runoff, livestock)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12,400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3,100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8,200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23,715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Manufacturing</w:t>
              <w:br/>
              <w:t>(food processing, textiles)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1,800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420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6,500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85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8,805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Sewerage: treated</w:t>
              <w:br/>
              <w:t>(secondary treatment)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2,200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380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1,800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4,388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Sewerage: untreated</w:t>
              <w:br/>
              <w:t>(direct discharge)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8,600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2,100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18,500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12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29,212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Households (direct</w:t>
              <w:br/>
              <w:t>coastal discharge)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1,400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350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3,200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4,952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Aquaculture</w:t>
              <w:br/>
              <w:t>(fish/shrimp farms)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2,100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680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4,800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5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7,585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Other (stormwater,</w:t>
              <w:br/>
              <w:t>recreational vessels)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120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1,200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2,123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29,300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7,150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44,200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130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80,780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0A5455"/>
          <w:sz w:val="20"/>
        </w:rPr>
        <w:t>Interpretation:</w:t>
      </w:r>
    </w:p>
    <w:p>
      <w:pPr>
        <w:spacing w:after="120"/>
      </w:pPr>
      <w:r>
        <w:rPr>
          <w:rFonts w:ascii="Arial" w:hAnsi="Arial"/>
          <w:b w:val="0"/>
          <w:color w:val="30302F"/>
          <w:sz w:val="20"/>
        </w:rPr>
        <w:t>The largest pollution source by volume is untreated sewage discharge (29,212 tonnes/yr, 36% of total load), highlighting the critical infrastructure gap. Agriculture is the largest source of nitrogen (12,400 tonnes N/yr, 42% of total N) due to fertiliser runoff. Manufacturing contributes the most heavy metals (85 tonnes/yr, 65%). BOD load is dominated by untreated sewage (18,500 tonnes, 42%), which drives coastal deoxygenation.</w:t>
      </w:r>
    </w:p>
    <w:p/>
    <w:p>
      <w:r>
        <w:rPr>
          <w:rFonts w:ascii="Arial" w:hAnsi="Arial"/>
          <w:b w:val="0"/>
          <w:color w:val="0A5455"/>
          <w:sz w:val="32"/>
        </w:rPr>
        <w:t>Table 10: Solid Waste Entering the Marine Environment (tonnes/year)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Waste type</w:t>
            </w:r>
          </w:p>
        </w:tc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Land-based</w:t>
              <w:br/>
              <w:t>sources</w:t>
            </w:r>
          </w:p>
        </w:tc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Sea-based</w:t>
              <w:br/>
              <w:t>sources</w:t>
            </w:r>
          </w:p>
        </w:tc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  <w:br/>
              <w:t>(tonnes/yr)</w:t>
            </w:r>
          </w:p>
        </w:tc>
        <w:tc>
          <w:tcPr>
            <w:tcW w:type="dxa" w:w="282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Plastics: macroplastic</w:t>
              <w:br/>
              <w:t>(packaging, bags, bottles)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8,100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1,300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9,400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52%</w:t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Plastics: microplastic</w:t>
              <w:br/>
              <w:t>(fibres, pellets, fragments)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1,200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600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1,800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10%</w:t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Fishing gear</w:t>
              <w:br/>
              <w:t>(nets, lines, traps)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2,000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2,000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11%</w:t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Ship waste</w:t>
              <w:br/>
              <w:t>(bilge, cargo residue)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850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850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5%</w:t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Sewage sludge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1,500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1,500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8%</w:t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Organic waste</w:t>
              <w:br/>
              <w:t>(food, vegetation)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1,800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200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2,000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11%</w:t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Other (glass, metal,</w:t>
              <w:br/>
              <w:t>construction debris)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350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100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450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3%</w:t>
            </w:r>
          </w:p>
        </w:tc>
      </w:tr>
      <w:tr>
        <w:tc>
          <w:tcPr>
            <w:tcW w:type="dxa" w:w="282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12,950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5,050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  <w:tc>
          <w:tcPr>
            <w:tcW w:type="dxa" w:w="282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100%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0A5455"/>
          <w:sz w:val="20"/>
        </w:rPr>
        <w:t>Interpretation:</w:t>
      </w:r>
    </w:p>
    <w:p>
      <w:pPr>
        <w:spacing w:after="120"/>
      </w:pPr>
      <w:r>
        <w:rPr>
          <w:rFonts w:ascii="Arial" w:hAnsi="Arial"/>
          <w:b w:val="0"/>
          <w:color w:val="30302F"/>
          <w:sz w:val="20"/>
        </w:rPr>
        <w:t>The most persistent pollutant is plastic waste, comprising 62% of total marine solid waste (macro + micro combined: 11,200 tonnes). Land-based sources dominate (72%), but sea-based sources are significant (28%), mainly from fishing gear (2,000 tonnes, 11% of total) and commercial shipping. Fishing gear, though smaller in volume than packaging plastics, causes disproportionate ecological harm through ghost fishing. The 52% macroplastic share aligns with global estimates (Jambeck et al. 2015).</w:t>
      </w:r>
    </w:p>
    <w:p>
      <w:r>
        <w:br w:type="page"/>
      </w:r>
    </w:p>
    <w:p>
      <w:r>
        <w:rPr>
          <w:rFonts w:ascii="Arial" w:hAnsi="Arial"/>
          <w:b w:val="0"/>
          <w:color w:val="0A5455"/>
          <w:sz w:val="32"/>
        </w:rPr>
        <w:t>Table 11: Air Emissions from Ocean Industries (tonnes/year)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Ocean sector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Fuel consumed</w:t>
              <w:br/>
              <w:t>(tonnes/yr)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CO₂</w:t>
              <w:br/>
              <w:t>(tonnes/yr)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SO₂</w:t>
              <w:br/>
              <w:t>(tonnes/yr)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NOx</w:t>
              <w:br/>
              <w:t>(tonnes/yr)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PM₂.₅</w:t>
              <w:br/>
              <w:t>(tonnes/yr)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International shipping</w:t>
              <w:br/>
              <w:t>(IMO-registered)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185,000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573,500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9,250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14,800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1,295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Domestic shipping</w:t>
              <w:br/>
              <w:t>and ferries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42,000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130,200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2,100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3,360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294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Fishing fleet</w:t>
              <w:br/>
              <w:t>(motorised vessels)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28,000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86,800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1,400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2,240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196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Offshore oil and gas</w:t>
              <w:br/>
              <w:t>(platforms, supply)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15,500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48,050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775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1,240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109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Port operations</w:t>
              <w:br/>
              <w:t>(cranes, vehicles, tugs)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8,500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26,350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425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680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60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279,000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864,900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13,950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22,320</w:t>
            </w:r>
          </w:p>
        </w:tc>
        <w:tc>
          <w:tcPr>
            <w:tcW w:type="dxa" w:w="2357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1,954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0A5455"/>
          <w:sz w:val="20"/>
        </w:rPr>
        <w:t>Interpretation:</w:t>
      </w:r>
    </w:p>
    <w:p>
      <w:pPr>
        <w:spacing w:after="120"/>
      </w:pPr>
      <w:r>
        <w:rPr>
          <w:rFonts w:ascii="Arial" w:hAnsi="Arial"/>
          <w:b w:val="0"/>
          <w:color w:val="30302F"/>
          <w:sz w:val="20"/>
        </w:rPr>
        <w:t>Maritime shipping (international + domestic) dominates air emissions from the ocean economy, accounting for 81% of CO₂, 81% of SO₂, and 81% of NOx. International shipping alone contributes 66% of total ocean-sector CO₂. The fishing fleet, though smaller in absolute emissions, operates closer to shore and in ecologically sensitive areas. SO₂ emissions are a particular concern for port-adjacent communities and are subject to IMO 2020 sulphur regulations (0.50% m/m fuel sulphur limit).</w:t>
      </w:r>
    </w:p>
    <w:p>
      <w:pPr>
        <w:spacing w:before="160"/>
      </w:pPr>
      <w:r>
        <w:rPr>
          <w:rFonts w:ascii="Arial" w:hAnsi="Arial"/>
          <w:b/>
          <w:color w:val="0A5455"/>
          <w:sz w:val="20"/>
        </w:rPr>
        <w:t>Policy linkage:</w:t>
      </w:r>
    </w:p>
    <w:p>
      <w:pPr>
        <w:spacing w:after="120"/>
      </w:pPr>
      <w:r>
        <w:rPr>
          <w:rFonts w:ascii="Arial" w:hAnsi="Arial"/>
          <w:b w:val="0"/>
          <w:color w:val="30302F"/>
          <w:sz w:val="20"/>
        </w:rPr>
        <w:t>These tables directly support SDG 14 (Life Below Water) indicator 14.1.1 (coastal eutrophication / floating plastic debris density) and can feed into national GHG inventory reporting under UNFCCC. The separation of treated vs. untreated sewage helps prioritise wastewater infrastructure investment.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