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Arial" w:hAnsi="Arial"/>
          <w:b w:val="0"/>
          <w:color w:val="0A5455"/>
          <w:sz w:val="32"/>
        </w:rPr>
        <w:t>Ecosystem Services Account -- Blank Tables</w:t>
      </w:r>
    </w:p>
    <w:p>
      <w:r>
        <w:rPr>
          <w:rFonts w:ascii="Arial" w:hAnsi="Arial"/>
          <w:b w:val="0"/>
          <w:color w:val="3B9C7B"/>
          <w:sz w:val="22"/>
        </w:rPr>
        <w:t>Part A (physical) is a complete account. Part B (monetary) is optional.</w:t>
      </w:r>
    </w:p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Accounting area: ____________  |  Year: ______</w:t>
      </w:r>
    </w:p>
    <w:p/>
    <w:p>
      <w:r>
        <w:rPr>
          <w:rFonts w:ascii="Arial" w:hAnsi="Arial"/>
          <w:b w:val="0"/>
          <w:color w:val="0A5455"/>
          <w:sz w:val="32"/>
        </w:rPr>
        <w:t>Table 4a: Physical Supply (Part A)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CICES</w:t>
              <w:br/>
              <w:t>category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Unit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Wood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tonnes/yr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Mg CO2/yr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 coastline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Regulating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kg biomass/yr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visitors/yr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Cultural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hours/yr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r>
        <w:br w:type="page"/>
      </w:r>
    </w:p>
    <w:p>
      <w:r>
        <w:rPr>
          <w:rFonts w:ascii="Arial" w:hAnsi="Arial"/>
          <w:b w:val="0"/>
          <w:color w:val="0A5455"/>
          <w:sz w:val="32"/>
        </w:rPr>
        <w:t>Table 4b: Monetary Supply (Part B) -- USD/year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color="404040"/>
          <w:left w:val="single" w:sz="4" w:color="404040"/>
          <w:bottom w:val="single" w:sz="4" w:color="404040"/>
          <w:right w:val="single" w:sz="4" w:color="404040"/>
          <w:insideH w:val="single" w:sz="4" w:color="404040"/>
          <w:insideV w:val="single" w:sz="4" w:color="404040"/>
        </w:tblBorders>
      </w:tblPr>
      <w:tblGrid>
        <w:gridCol w:w="2020"/>
        <w:gridCol w:w="2020"/>
        <w:gridCol w:w="2020"/>
        <w:gridCol w:w="2020"/>
        <w:gridCol w:w="2020"/>
        <w:gridCol w:w="2020"/>
        <w:gridCol w:w="2020"/>
      </w:tblGrid>
      <w:tr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Valuation</w:t>
              <w:br/>
              <w:t>method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Value</w:t>
              <w:br/>
              <w:t>type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1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2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Ecosystem 3</w:t>
            </w:r>
          </w:p>
        </w:tc>
        <w:tc>
          <w:tcPr>
            <w:tcW w:type="dxa" w:w="2020"/>
            <w:shd w:fill="3B9C7B"/>
          </w:tcPr>
          <w:p>
            <w:pPr>
              <w:jc w:val="center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Fish provisioning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Resource rent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Carbon sequestration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SCC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Coastal protection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Replacement cost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Non-market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Nursery habitat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Productivity change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Recreation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Direct expenditure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Market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Gleaning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Equivalent wage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  <w:t>Mixed</w:t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  <w:tr>
        <w:tc>
          <w:tcPr>
            <w:tcW w:type="dxa" w:w="2020"/>
            <w:shd w:fill="0A5455"/>
          </w:tcPr>
          <w:p>
            <w:pPr>
              <w:spacing w:before="60" w:after="60"/>
            </w:pPr>
            <w:r/>
            <w:r>
              <w:rPr>
                <w:rFonts w:ascii="Arial" w:hAnsi="Arial"/>
                <w:b/>
                <w:color w:val="FFFFFF"/>
                <w:sz w:val="20"/>
              </w:rPr>
              <w:t>TOTAL</w:t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  <w:tc>
          <w:tcPr>
            <w:tcW w:type="dxa" w:w="2020"/>
            <w:shd w:fill="FFF2CC"/>
          </w:tcPr>
          <w:p>
            <w:pPr>
              <w:spacing w:before="60" w:after="60"/>
            </w:pPr>
            <w:r/>
            <w:r>
              <w:rPr>
                <w:rFonts w:ascii="Arial" w:hAnsi="Arial"/>
                <w:b w:val="0"/>
                <w:color w:val="30302F"/>
                <w:sz w:val="20"/>
              </w:rPr>
            </w:r>
          </w:p>
        </w:tc>
      </w:tr>
    </w:tbl>
    <w:p>
      <w:pPr>
        <w:spacing w:before="40"/>
      </w:pPr>
      <w:r>
        <w:rPr>
          <w:rFonts w:ascii="Arial" w:hAnsi="Arial"/>
          <w:b w:val="0"/>
          <w:color w:val="717171"/>
          <w:sz w:val="18"/>
        </w:rPr>
        <w:t>Part A stands alone. Only fill Part B for services where you have economic data. Mixed completeness is normal.</w:t>
      </w:r>
    </w:p>
    <w:sectPr w:rsidR="00FC693F" w:rsidRPr="0006063C" w:rsidSect="00034616">
      <w:pgSz w:w="15840" w:h="12240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