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Extent Account -- Blank Tables</w:t>
      </w:r>
    </w:p>
    <w:p>
      <w:r>
        <w:rPr>
          <w:rFonts w:ascii="Arial" w:hAnsi="Arial"/>
          <w:b w:val="0"/>
          <w:color w:val="3B9C7B"/>
          <w:sz w:val="22"/>
        </w:rPr>
        <w:t>Fill in with your country's data</w:t>
      </w:r>
    </w:p>
    <w:p/>
    <w:p>
      <w:r>
        <w:rPr>
          <w:rFonts w:ascii="Arial" w:hAnsi="Arial"/>
          <w:b w:val="0"/>
          <w:color w:val="0A5455"/>
          <w:sz w:val="32"/>
        </w:rPr>
        <w:t>Table 1: Ecosystem Extent Account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Accounting area: ____________  |  Opening year: ______  |  Closing year: 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  <w:br/>
              <w:t>(name, code)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  <w:br/>
              <w:t>(name, code)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  <w:br/>
              <w:t>(name, code)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 extent (ha)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Additions: natural expansion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Additions: managed restoration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Additions: reclassification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additions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Reductions: natural reduction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Reductions: managed conversion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Reductions: reclassification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reductions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Net change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 extent (ha)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Total accounting area must be the same for opening and closing. Net change across all types sums to zero.</w:t>
      </w:r>
    </w:p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1b: Extent Time Series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type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Year 1 (ha)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Year 2 (ha)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Year 3 (ha)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Year 4 (ha)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change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Change (%)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/>
    <w:p>
      <w:r>
        <w:rPr>
          <w:rFonts w:ascii="Arial" w:hAnsi="Arial"/>
          <w:b w:val="0"/>
          <w:color w:val="0A5455"/>
          <w:sz w:val="32"/>
        </w:rPr>
        <w:t>Table 2: Change Matrix (hectares)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 \ Closing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 total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 total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Diagonal = stable area. Off-diagonal = transitions. Row totals = opening extent. Column totals = closing extent.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