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Ecosystem Services Account -- Blank Tables</w:t>
      </w:r>
    </w:p>
    <w:p>
      <w:r>
        <w:rPr>
          <w:rFonts w:ascii="Arial" w:hAnsi="Arial"/>
          <w:b w:val="0"/>
          <w:color w:val="3B9C7B"/>
          <w:sz w:val="22"/>
        </w:rPr>
        <w:t>Part A (physical) is a complete account. Part B (monetary) is optional.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Accounting area: ____________  |  Year: ______</w:t>
      </w:r>
    </w:p>
    <w:p/>
    <w:p>
      <w:r>
        <w:rPr>
          <w:rFonts w:ascii="Arial" w:hAnsi="Arial"/>
          <w:b w:val="0"/>
          <w:color w:val="0A5455"/>
          <w:sz w:val="32"/>
        </w:rPr>
        <w:t>Table 4a: Physical Supply (Part 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SEEA EA</w:t>
              <w:br/>
              <w:t>reference list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tonnes/yr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4b: Monetary Supply (Part B) -- USD/year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  <w:br/>
              <w:t>type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Mixed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Part A stands alone. Only fill Part B for services where you have economic data. Mixed completeness is normal.</w:t>
      </w:r>
    </w:p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4c: Physical Use (Part A)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For each service, assign the physical quantity to the economic sector that benefits.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r>
        <w:rPr>
          <w:rFonts w:ascii="Arial" w:hAnsi="Arial"/>
          <w:b w:val="0"/>
          <w:color w:val="0A5455"/>
          <w:sz w:val="32"/>
        </w:rPr>
        <w:t>Table 4d: Monetary Use (Part B) -- USD/year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Assign the monetary value of each service to the sector that benefits. Totals must match the supply table.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