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 w:val="0"/>
          <w:color w:val="0A5455"/>
          <w:sz w:val="32"/>
        </w:rPr>
        <w:t>Worked Example: Condition Account -- Belize Coral Reefs</w:t>
      </w:r>
    </w:p>
    <w:p>
      <w:r>
        <w:rPr>
          <w:rFonts w:ascii="Arial" w:hAnsi="Arial"/>
          <w:b w:val="0"/>
          <w:color w:val="3B9C7B"/>
          <w:sz w:val="22"/>
        </w:rPr>
        <w:t>Ecosystem type: Photic coral reefs (IUCN GET M1.3)  |  Accounting area: Northern Barrier Complex, Belize</w:t>
      </w: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Data source: Atlantic and Gulf Rapid Reef Assessment (AGRRA) surveys, 2019 (opening) and 2024 (closing). All indicators measured at permanent monitoring sites.</w:t>
      </w:r>
    </w:p>
    <w:p/>
    <w:p>
      <w:r>
        <w:rPr>
          <w:rFonts w:ascii="Arial" w:hAnsi="Arial"/>
          <w:b w:val="0"/>
          <w:color w:val="0A5455"/>
          <w:sz w:val="32"/>
        </w:rPr>
        <w:t>Table 3: Ecosystem Condition Account for Photic Coral Reefs (M1.3)</w:t>
      </w: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CI = Condition Index. Higher-is-better: CI = Value / Reference. Higher-is-worse: CI = 1 - (Value / Reference). All CIs capped at [0, 1].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Reference level</w:t>
              <w:br/>
              <w:t>(source)</w:t>
            </w:r>
          </w:p>
        </w:tc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Opening</w:t>
              <w:br/>
              <w:t>value</w:t>
            </w:r>
          </w:p>
        </w:tc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Opening</w:t>
              <w:br/>
              <w:t>CI</w:t>
            </w:r>
          </w:p>
        </w:tc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Closing</w:t>
              <w:br/>
              <w:t>value</w:t>
            </w:r>
          </w:p>
        </w:tc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Closing</w:t>
              <w:br/>
              <w:t>CI</w:t>
            </w:r>
          </w:p>
        </w:tc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Change</w:t>
              <w:br/>
              <w:t>in CI</w:t>
            </w:r>
          </w:p>
        </w:tc>
        <w:tc>
          <w:tcPr>
            <w:tcW w:type="dxa" w:w="1414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14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Live coral cover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%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Higher is</w:t>
              <w:br/>
              <w:t>better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50%</w:t>
              <w:br/>
              <w:t>(Perry et al. 2013,</w:t>
              <w:br/>
              <w:t>Indo-Pacific)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31.1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0.62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26.6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0.53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-0.09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1414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Fleshy macroalgae</w:t>
              <w:br/>
              <w:t>cover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%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Higher is</w:t>
              <w:br/>
              <w:t>worse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60%</w:t>
              <w:br/>
              <w:t>(maximum</w:t>
              <w:br/>
              <w:t>degraded state)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22.6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0.62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27.4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0.54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-0.08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1414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 biomass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kg/ha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Higher is</w:t>
              <w:br/>
              <w:t>better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500 kg/ha</w:t>
              <w:br/>
              <w:t>(McClanahan et al.</w:t>
              <w:br/>
              <w:t>2011, unfished)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213.8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0.43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193.8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0.39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-0.04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1414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Coral recruit</w:t>
              <w:br/>
              <w:t>density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per m²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Higher is</w:t>
              <w:br/>
              <w:t>better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15 per m²</w:t>
              <w:br/>
              <w:t>(regional</w:t>
              <w:br/>
              <w:t>benchmark)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8.5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0.57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6.2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0.41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-0.15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1414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Reef structural</w:t>
              <w:br/>
              <w:t>relief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cm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Higher is</w:t>
              <w:br/>
              <w:t>better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150 cm</w:t>
              <w:br/>
              <w:t>(healthy reef</w:t>
              <w:br/>
              <w:t>structure)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82.5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0.55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78.0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0.52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-0.03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Stable</w:t>
            </w:r>
          </w:p>
        </w:tc>
      </w:tr>
      <w:tr>
        <w:tc>
          <w:tcPr>
            <w:tcW w:type="dxa" w:w="1414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Bleaching</w:t>
              <w:br/>
              <w:t>prevalence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% colonies</w:t>
              <w:br/>
              <w:t>bleached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Higher is</w:t>
              <w:br/>
              <w:t>worse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100%</w:t>
              <w:br/>
              <w:t>(all colonies</w:t>
              <w:br/>
              <w:t>bleached)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8.5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0.92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18.3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0.82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-0.10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1414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Composite CI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(average of</w:t>
              <w:br/>
              <w:t>above)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0.62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0.53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-0.08</w:t>
            </w:r>
          </w:p>
        </w:tc>
        <w:tc>
          <w:tcPr>
            <w:tcW w:type="dxa" w:w="1414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0A5455"/>
          <w:sz w:val="20"/>
        </w:rPr>
        <w:t>Data source:</w:t>
      </w:r>
    </w:p>
    <w:p>
      <w:pPr>
        <w:spacing w:after="120"/>
      </w:pPr>
      <w:r>
        <w:rPr>
          <w:rFonts w:ascii="Arial" w:hAnsi="Arial"/>
          <w:b w:val="0"/>
          <w:color w:val="30302F"/>
          <w:sz w:val="20"/>
        </w:rPr>
        <w:t>AGRRA surveys 2019 and 2024, Northern Barrier Complex, Belize. Surveys covered 32 permanent transects across 8 reef sites spanning fore-reef and back-reef habitats.</w:t>
      </w:r>
    </w:p>
    <w:p>
      <w:pPr>
        <w:spacing w:before="160"/>
      </w:pPr>
      <w:r>
        <w:rPr>
          <w:rFonts w:ascii="Arial" w:hAnsi="Arial"/>
          <w:b/>
          <w:color w:val="0A5455"/>
          <w:sz w:val="20"/>
        </w:rPr>
        <w:t>Interpretation:</w:t>
      </w:r>
    </w:p>
    <w:p>
      <w:pPr>
        <w:spacing w:after="120"/>
      </w:pPr>
      <w:r>
        <w:rPr>
          <w:rFonts w:ascii="Arial" w:hAnsi="Arial"/>
          <w:b w:val="0"/>
          <w:color w:val="30302F"/>
          <w:sz w:val="20"/>
        </w:rPr>
        <w:t>The composite Condition Index declined from 0.62 to 0.53 over five years, indicating a reef system moving further from reference condition. Coral recruit density showed the largest decline (-0.15), suggesting reduced coral reproduction and early survivorship -- a leading indicator of future reef decline. Bleaching prevalence more than doubled (8.5% to 18.3%), consistent with the 2023 marine heatwave that affected the Mesoamerican Barrier Reef. Fish biomass remained low (&lt; 50% of reference) in both periods, reflecting chronic overfishing. Reef structural relief was the most stable indicator (-0.03), as physical structure changes slowly.</w:t>
      </w:r>
    </w:p>
    <w:p>
      <w:pPr>
        <w:spacing w:before="160"/>
      </w:pPr>
      <w:r>
        <w:rPr>
          <w:rFonts w:ascii="Arial" w:hAnsi="Arial"/>
          <w:b/>
          <w:color w:val="0A5455"/>
          <w:sz w:val="20"/>
        </w:rPr>
        <w:t>How to read the CI:</w:t>
      </w:r>
    </w:p>
    <w:p>
      <w:pPr>
        <w:spacing w:after="120"/>
      </w:pPr>
      <w:r>
        <w:rPr>
          <w:rFonts w:ascii="Arial" w:hAnsi="Arial"/>
          <w:b w:val="0"/>
          <w:color w:val="30302F"/>
          <w:sz w:val="20"/>
        </w:rPr>
        <w:t>A CI of 1.0 means the indicator is at its reference level (best condition). A CI of 0.0 means fully degraded. For 'higher-is-worse' indicators (macroalgae, bleaching), the CI formula is inverted: CI = 1 - (value/reference), so higher observed values produce lower CIs.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