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 w:val="0"/>
          <w:color w:val="0A5455"/>
          <w:sz w:val="20"/>
        </w:rPr>
        <w:t>Ocean Accounting Clinic -- Facilitator Triage Card</w:t>
      </w:r>
    </w:p>
    <w:p>
      <w:r>
        <w:rPr>
          <w:rFonts w:ascii="Arial" w:hAnsi="Arial"/>
          <w:b w:val="0"/>
          <w:color w:val="3B9C7B"/>
          <w:sz w:val="20"/>
        </w:rPr>
        <w:t>S-S Ocean Accounting Exchange 2026, Bogor</w:t>
      </w:r>
    </w:p>
    <w:p>
      <w:r>
        <w:rPr>
          <w:rFonts w:ascii="Arial" w:hAnsi="Arial"/>
          <w:b w:val="0"/>
          <w:color w:val="0A5455"/>
          <w:sz w:val="20"/>
        </w:rPr>
        <w:t>Step 1: Ask three questions</w:t>
      </w:r>
    </w:p>
    <w:p>
      <w:r>
        <w:rPr>
          <w:rFonts w:ascii="Arial" w:hAnsi="Arial"/>
          <w:b w:val="0"/>
          <w:color w:val="30302F"/>
          <w:sz w:val="20"/>
        </w:rPr>
        <w:t>1. What account type do you want to build? (Extent / Condition / Services / Unsure)</w:t>
      </w:r>
    </w:p>
    <w:p>
      <w:r>
        <w:rPr>
          <w:rFonts w:ascii="Arial" w:hAnsi="Arial"/>
          <w:b w:val="0"/>
          <w:color w:val="30302F"/>
          <w:sz w:val="20"/>
        </w:rPr>
        <w:t>2. What data do you have? (None / Global datasets / National data / Field data)</w:t>
      </w:r>
    </w:p>
    <w:p>
      <w:r>
        <w:rPr>
          <w:rFonts w:ascii="Arial" w:hAnsi="Arial"/>
          <w:b w:val="0"/>
          <w:color w:val="30302F"/>
          <w:sz w:val="20"/>
        </w:rPr>
        <w:t>3. What is your policy question?</w:t>
      </w:r>
    </w:p>
    <w:p>
      <w:pPr>
        <w:keepNext/>
      </w:pPr>
      <w:r>
        <w:rPr>
          <w:rFonts w:ascii="Arial" w:hAnsi="Arial"/>
          <w:b w:val="0"/>
          <w:color w:val="0A5455"/>
          <w:sz w:val="20"/>
        </w:rPr>
        <w:t>Step 2: Direct to the right pathway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They want...</w:t>
            </w:r>
          </w:p>
        </w:tc>
        <w:tc>
          <w:tcPr>
            <w:tcW w:type="dxa" w:w="2635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They have...</w:t>
            </w:r>
          </w:p>
        </w:tc>
        <w:tc>
          <w:tcPr>
            <w:tcW w:type="dxa" w:w="2635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Pathway</w:t>
            </w:r>
          </w:p>
        </w:tc>
        <w:tc>
          <w:tcPr>
            <w:tcW w:type="dxa" w:w="2635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Materials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Extent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No data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A: Global datasets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extent_account_template.xlsx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Extent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Imagery or maps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B: Classification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extent_account_template.xlsx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No field data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A: RS proxies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condition_account_template.xlsx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Field surveys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B: Indicators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condition_account_template.xlsx</w:t>
              <w:br/>
              <w:t>condition_exercise.xlsx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Services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No data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A: Value transfer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services_account_template.xlsx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Services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Catch, visitors, etc.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B: Primary calc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services_account_template.xlsx</w:t>
              <w:br/>
              <w:t>services_exercise.xlsx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Don't know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Any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Diagnostic tool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diagnostic-tool.md</w:t>
            </w:r>
          </w:p>
        </w:tc>
      </w:tr>
    </w:tbl>
    <w:p>
      <w:r>
        <w:rPr>
          <w:rFonts w:ascii="Arial" w:hAnsi="Arial"/>
          <w:b w:val="0"/>
          <w:color w:val="0A5455"/>
          <w:sz w:val="20"/>
        </w:rPr>
        <w:t>Step 3: Walk through with them</w:t>
      </w:r>
    </w:p>
    <w:p>
      <w:r>
        <w:rPr>
          <w:rFonts w:ascii="Arial" w:hAnsi="Arial"/>
          <w:b w:val="0"/>
          <w:color w:val="30302F"/>
          <w:sz w:val="20"/>
        </w:rPr>
        <w:t>1. Open the slides on screen (extent-slides / condition-slides / services-slides)</w:t>
      </w:r>
    </w:p>
    <w:p>
      <w:r>
        <w:rPr>
          <w:rFonts w:ascii="Arial" w:hAnsi="Arial"/>
          <w:b w:val="0"/>
          <w:color w:val="30302F"/>
          <w:sz w:val="20"/>
        </w:rPr>
        <w:t>2. Follow the step-by-step guide for their pathway</w:t>
      </w:r>
    </w:p>
    <w:p>
      <w:r>
        <w:rPr>
          <w:rFonts w:ascii="Arial" w:hAnsi="Arial"/>
          <w:b w:val="0"/>
          <w:color w:val="30302F"/>
          <w:sz w:val="20"/>
        </w:rPr>
        <w:t>3. Give them the exercise to practice</w:t>
      </w:r>
    </w:p>
    <w:p>
      <w:r>
        <w:rPr>
          <w:rFonts w:ascii="Arial" w:hAnsi="Arial"/>
          <w:b w:val="0"/>
          <w:color w:val="30302F"/>
          <w:sz w:val="20"/>
        </w:rPr>
        <w:t>4. Open the Excel template and help them fill it with their own data</w:t>
      </w:r>
    </w:p>
    <w:p>
      <w:pPr>
        <w:keepNext/>
      </w:pPr>
      <w:r>
        <w:rPr>
          <w:rFonts w:ascii="Arial" w:hAnsi="Arial"/>
          <w:b w:val="0"/>
          <w:color w:val="0A5455"/>
          <w:sz w:val="20"/>
        </w:rPr>
        <w:t>Facilitator specializations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Facilitator</w:t>
            </w:r>
          </w:p>
        </w:tc>
        <w:tc>
          <w:tcPr>
            <w:tcW w:type="dxa" w:w="3513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Specialization</w:t>
            </w:r>
          </w:p>
        </w:tc>
        <w:tc>
          <w:tcPr>
            <w:tcW w:type="dxa" w:w="3513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Availability</w:t>
            </w:r>
          </w:p>
        </w:tc>
      </w:tr>
      <w:tr>
        <w:tc>
          <w:tcPr>
            <w:tcW w:type="dxa" w:w="3513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Jordan Gacutan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Account structure, SEEA-EA, services, blue finance, GEF, NDC/NBSAP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Day 2</w:t>
            </w:r>
          </w:p>
        </w:tc>
      </w:tr>
      <w:tr>
        <w:tc>
          <w:tcPr>
            <w:tcW w:type="dxa" w:w="3513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Maria Alarcon-Blazquez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SEEA-EA technical guidance, valuation, ecosystem services, policy briefs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Days 2-3</w:t>
            </w:r>
          </w:p>
        </w:tc>
      </w:tr>
      <w:tr>
        <w:tc>
          <w:tcPr>
            <w:tcW w:type="dxa" w:w="3513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Becca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Social ocean accounts, community data, distributional analysis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Days 2-3</w:t>
            </w:r>
          </w:p>
        </w:tc>
      </w:tr>
    </w:tbl>
    <w:p>
      <w:r>
        <w:rPr>
          <w:rFonts w:ascii="Arial" w:hAnsi="Arial"/>
          <w:b w:val="0"/>
          <w:color w:val="0A5455"/>
          <w:sz w:val="20"/>
        </w:rPr>
        <w:t>Key reminders</w:t>
      </w:r>
    </w:p>
    <w:p>
      <w:r>
        <w:rPr>
          <w:rFonts w:ascii="Arial" w:hAnsi="Arial"/>
          <w:b/>
          <w:color w:val="3B9C7B"/>
          <w:sz w:val="20"/>
        </w:rPr>
        <w:t xml:space="preserve">-- </w:t>
      </w:r>
      <w:r>
        <w:rPr>
          <w:rFonts w:ascii="Arial" w:hAnsi="Arial"/>
          <w:b w:val="0"/>
          <w:color w:val="30302F"/>
          <w:sz w:val="20"/>
        </w:rPr>
        <w:t>Fellows must complete the GOAP Metadata Sheet BEFORE their session.</w:t>
      </w:r>
    </w:p>
    <w:p>
      <w:r>
        <w:rPr>
          <w:rFonts w:ascii="Arial" w:hAnsi="Arial"/>
          <w:b/>
          <w:color w:val="3B9C7B"/>
          <w:sz w:val="20"/>
        </w:rPr>
        <w:t xml:space="preserve">-- </w:t>
      </w:r>
      <w:r>
        <w:rPr>
          <w:rFonts w:ascii="Arial" w:hAnsi="Arial"/>
          <w:b w:val="0"/>
          <w:color w:val="30302F"/>
          <w:sz w:val="20"/>
        </w:rPr>
        <w:t>If they have no data, start with Pathway A (global datasets / value transfer).</w:t>
      </w:r>
    </w:p>
    <w:p>
      <w:r>
        <w:rPr>
          <w:rFonts w:ascii="Arial" w:hAnsi="Arial"/>
          <w:b/>
          <w:color w:val="3B9C7B"/>
          <w:sz w:val="20"/>
        </w:rPr>
        <w:t xml:space="preserve">-- </w:t>
      </w:r>
      <w:r>
        <w:rPr>
          <w:rFonts w:ascii="Arial" w:hAnsi="Arial"/>
          <w:b w:val="0"/>
          <w:color w:val="30302F"/>
          <w:sz w:val="20"/>
        </w:rPr>
        <w:t>A single-period account is valid. They do not need two time points.</w:t>
      </w:r>
    </w:p>
    <w:p>
      <w:r>
        <w:rPr>
          <w:rFonts w:ascii="Arial" w:hAnsi="Arial"/>
          <w:b/>
          <w:color w:val="3B9C7B"/>
          <w:sz w:val="20"/>
        </w:rPr>
        <w:t xml:space="preserve">-- </w:t>
      </w:r>
      <w:r>
        <w:rPr>
          <w:rFonts w:ascii="Arial" w:hAnsi="Arial"/>
          <w:b w:val="0"/>
          <w:color w:val="30302F"/>
          <w:sz w:val="20"/>
        </w:rPr>
        <w:t>Emphasize: do not let perfect be the enemy of good. Tier 1 is a valid start.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