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Extent Account -- Blank Tables</w:t>
      </w:r>
    </w:p>
    <w:p>
      <w:r>
        <w:rPr>
          <w:rFonts w:ascii="Arial" w:hAnsi="Arial"/>
          <w:b w:val="0"/>
          <w:color w:val="3B9C7B"/>
          <w:sz w:val="20"/>
        </w:rPr>
        <w:t>Fill in with your country's data</w:t>
      </w:r>
    </w:p>
    <w:p/>
    <w:p>
      <w:r>
        <w:rPr>
          <w:rFonts w:ascii="Arial" w:hAnsi="Arial"/>
          <w:b w:val="0"/>
          <w:color w:val="0A5455"/>
          <w:sz w:val="20"/>
        </w:rPr>
        <w:t>Table 1: Ecosystem Extent Account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Accounting area: ____________  |  Opening year: ______  |  Closing year: 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  <w:br/>
              <w:t>(name, code)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extent (ha)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natural expansion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managed restoration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Additions: reclassification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additions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natural reduction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managed conversion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Reductions: reclassification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reductions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Net change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extent (ha)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Total accounting area must be the same for opening and closing. Net change across all types sums to zero.</w:t>
      </w:r>
    </w:p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1b: Extent Time Series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1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2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3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Year 4 (ha)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change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 (%)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2: Change Matrix (hectares)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\ Closing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total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total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Diagonal = stable area. Off-diagonal = transitions. Row totals = opening extent. Column totals = closing extent.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