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val="0"/>
          <w:color w:val="0A5455"/>
          <w:sz w:val="20"/>
        </w:rPr>
        <w:t>Worked Example: Extent Account -- Laamu Atoll, Maldives</w:t>
      </w:r>
    </w:p>
    <w:p>
      <w:r>
        <w:rPr>
          <w:rFonts w:ascii="Arial" w:hAnsi="Arial"/>
          <w:b w:val="0"/>
          <w:color w:val="3B9C7B"/>
          <w:sz w:val="20"/>
        </w:rPr>
        <w:t>Accounting area: Laamu Atoll  |  Opening year: 2017  |  Closing year: 2020</w:t>
      </w:r>
    </w:p>
    <w:p>
      <w:pPr>
        <w:spacing w:before="80" w:after="80"/>
      </w:pPr>
      <w:r>
        <w:rPr>
          <w:rFonts w:ascii="Arial" w:hAnsi="Arial"/>
          <w:b w:val="0"/>
          <w:color w:val="555555"/>
          <w:sz w:val="20"/>
        </w:rPr>
        <w:t>Data sources: Allen Coral Atlas (2020), Maldives Marine Research Institute habitat maps, Blue Prosperity Coalition surveys. IUCN Global Ecosystem Typology (GET) codes used throughout.</w:t>
      </w:r>
    </w:p>
    <w:p/>
    <w:p>
      <w:pPr>
        <w:keepNext/>
      </w:pPr>
      <w:r>
        <w:rPr>
          <w:rFonts w:ascii="Arial" w:hAnsi="Arial"/>
          <w:b w:val="0"/>
          <w:color w:val="0A5455"/>
          <w:sz w:val="20"/>
        </w:rPr>
        <w:t>Table 1: Ecosystem Extent Account (hectares)</w:t>
      </w:r>
    </w:p>
    <w:tbl>
      <w:tblPr>
        <w:tblW w:type="auto" w:w="0"/>
        <w:jc w:val="center"/>
        <w:tblLook w:firstColumn="1" w:firstRow="1" w:lastColumn="0" w:lastRow="0" w:noHBand="0" w:noVBand="1" w:val="04A0"/>
        <w:tblBorders>
          <w:top w:val="single" w:sz="4" w:color="404040"/>
          <w:left w:val="single" w:sz="4" w:color="404040"/>
          <w:bottom w:val="single" w:sz="4" w:color="404040"/>
          <w:right w:val="single" w:sz="4" w:color="404040"/>
          <w:insideH w:val="single" w:sz="4" w:color="404040"/>
          <w:insideV w:val="single" w:sz="4" w:color="404040"/>
        </w:tblBorders>
      </w:tblPr>
      <w:tblGrid>
        <w:gridCol w:w="2357"/>
        <w:gridCol w:w="2357"/>
        <w:gridCol w:w="2357"/>
        <w:gridCol w:w="2357"/>
        <w:gridCol w:w="2357"/>
        <w:gridCol w:w="2357"/>
      </w:tblGrid>
      <w:tr>
        <w:tc>
          <w:tcPr>
            <w:tcW w:type="dxa" w:w="2357"/>
            <w:shd w:fill="3B9C7B"/>
          </w:tcPr>
          <w:p>
            <w:pPr>
              <w:jc w:val="center"/>
            </w:pPr>
            <w:r/>
            <w:r>
              <w:rPr>
                <w:rFonts w:ascii="Arial" w:hAnsi="Arial"/>
                <w:b/>
                <w:color w:val="FFFFFF"/>
                <w:sz w:val="20"/>
              </w:rPr>
            </w:r>
          </w:p>
        </w:tc>
        <w:tc>
          <w:tcPr>
            <w:tcW w:type="dxa" w:w="2357"/>
            <w:shd w:fill="3B9C7B"/>
          </w:tcPr>
          <w:p>
            <w:pPr>
              <w:jc w:val="center"/>
            </w:pPr>
            <w:r/>
            <w:r>
              <w:rPr>
                <w:rFonts w:ascii="Arial" w:hAnsi="Arial"/>
                <w:b/>
                <w:color w:val="FFFFFF"/>
                <w:sz w:val="20"/>
              </w:rPr>
              <w:t>Photic coral</w:t>
              <w:br/>
              <w:t>reefs (M1.3)</w:t>
            </w:r>
          </w:p>
        </w:tc>
        <w:tc>
          <w:tcPr>
            <w:tcW w:type="dxa" w:w="2357"/>
            <w:shd w:fill="3B9C7B"/>
          </w:tcPr>
          <w:p>
            <w:pPr>
              <w:jc w:val="center"/>
            </w:pPr>
            <w:r/>
            <w:r>
              <w:rPr>
                <w:rFonts w:ascii="Arial" w:hAnsi="Arial"/>
                <w:b/>
                <w:color w:val="FFFFFF"/>
                <w:sz w:val="20"/>
              </w:rPr>
              <w:t>Seagrass</w:t>
              <w:br/>
              <w:t>meadows (M1.1)</w:t>
            </w:r>
          </w:p>
        </w:tc>
        <w:tc>
          <w:tcPr>
            <w:tcW w:type="dxa" w:w="2357"/>
            <w:shd w:fill="3B9C7B"/>
          </w:tcPr>
          <w:p>
            <w:pPr>
              <w:jc w:val="center"/>
            </w:pPr>
            <w:r/>
            <w:r>
              <w:rPr>
                <w:rFonts w:ascii="Arial" w:hAnsi="Arial"/>
                <w:b/>
                <w:color w:val="FFFFFF"/>
                <w:sz w:val="20"/>
              </w:rPr>
              <w:t>Mangroves</w:t>
              <w:br/>
              <w:t>(MFT1.2)</w:t>
            </w:r>
          </w:p>
        </w:tc>
        <w:tc>
          <w:tcPr>
            <w:tcW w:type="dxa" w:w="2357"/>
            <w:shd w:fill="3B9C7B"/>
          </w:tcPr>
          <w:p>
            <w:pPr>
              <w:jc w:val="center"/>
            </w:pPr>
            <w:r/>
            <w:r>
              <w:rPr>
                <w:rFonts w:ascii="Arial" w:hAnsi="Arial"/>
                <w:b/>
                <w:color w:val="FFFFFF"/>
                <w:sz w:val="20"/>
              </w:rPr>
              <w:t>Sand / rubble /</w:t>
              <w:br/>
              <w:t>deep water</w:t>
            </w:r>
          </w:p>
        </w:tc>
        <w:tc>
          <w:tcPr>
            <w:tcW w:type="dxa" w:w="2357"/>
            <w:shd w:fill="3B9C7B"/>
          </w:tcPr>
          <w:p>
            <w:pPr>
              <w:jc w:val="center"/>
            </w:pPr>
            <w:r/>
            <w:r>
              <w:rPr>
                <w:rFonts w:ascii="Arial" w:hAnsi="Arial"/>
                <w:b/>
                <w:color w:val="FFFFFF"/>
                <w:sz w:val="20"/>
              </w:rPr>
              <w:t>Total</w:t>
            </w:r>
          </w:p>
        </w:tc>
      </w:tr>
      <w:tr>
        <w:tc>
          <w:tcPr>
            <w:tcW w:type="dxa" w:w="2357"/>
            <w:shd w:fill="0A5455"/>
          </w:tcPr>
          <w:p>
            <w:pPr>
              <w:spacing w:before="60" w:after="60"/>
            </w:pPr>
            <w:r/>
            <w:r>
              <w:rPr>
                <w:rFonts w:ascii="Arial" w:hAnsi="Arial"/>
                <w:b/>
                <w:color w:val="FFFFFF"/>
                <w:sz w:val="20"/>
              </w:rPr>
              <w:t>Opening extent (2017)</w:t>
            </w:r>
          </w:p>
        </w:tc>
        <w:tc>
          <w:tcPr>
            <w:tcW w:type="dxa" w:w="2357"/>
          </w:tcPr>
          <w:p>
            <w:pPr>
              <w:spacing w:before="60" w:after="60"/>
              <w:jc w:val="center"/>
            </w:pPr>
            <w:r/>
            <w:r>
              <w:rPr>
                <w:rFonts w:ascii="Arial" w:hAnsi="Arial"/>
                <w:b w:val="0"/>
                <w:color w:val="30302F"/>
                <w:sz w:val="20"/>
              </w:rPr>
              <w:t>7,420</w:t>
            </w:r>
          </w:p>
        </w:tc>
        <w:tc>
          <w:tcPr>
            <w:tcW w:type="dxa" w:w="2357"/>
          </w:tcPr>
          <w:p>
            <w:pPr>
              <w:spacing w:before="60" w:after="60"/>
              <w:jc w:val="center"/>
            </w:pPr>
            <w:r/>
            <w:r>
              <w:rPr>
                <w:rFonts w:ascii="Arial" w:hAnsi="Arial"/>
                <w:b w:val="0"/>
                <w:color w:val="30302F"/>
                <w:sz w:val="20"/>
              </w:rPr>
              <w:t>4,856</w:t>
            </w:r>
          </w:p>
        </w:tc>
        <w:tc>
          <w:tcPr>
            <w:tcW w:type="dxa" w:w="2357"/>
          </w:tcPr>
          <w:p>
            <w:pPr>
              <w:spacing w:before="60" w:after="60"/>
              <w:jc w:val="center"/>
            </w:pPr>
            <w:r/>
            <w:r>
              <w:rPr>
                <w:rFonts w:ascii="Arial" w:hAnsi="Arial"/>
                <w:b w:val="0"/>
                <w:color w:val="30302F"/>
                <w:sz w:val="20"/>
              </w:rPr>
              <w:t>19</w:t>
            </w:r>
          </w:p>
        </w:tc>
        <w:tc>
          <w:tcPr>
            <w:tcW w:type="dxa" w:w="2357"/>
          </w:tcPr>
          <w:p>
            <w:pPr>
              <w:spacing w:before="60" w:after="60"/>
              <w:jc w:val="center"/>
            </w:pPr>
            <w:r/>
            <w:r>
              <w:rPr>
                <w:rFonts w:ascii="Arial" w:hAnsi="Arial"/>
                <w:b w:val="0"/>
                <w:color w:val="30302F"/>
                <w:sz w:val="20"/>
              </w:rPr>
              <w:t>149,653</w:t>
            </w:r>
          </w:p>
        </w:tc>
        <w:tc>
          <w:tcPr>
            <w:tcW w:type="dxa" w:w="2357"/>
          </w:tcPr>
          <w:p>
            <w:pPr>
              <w:spacing w:before="60" w:after="60"/>
              <w:jc w:val="center"/>
            </w:pPr>
            <w:r/>
            <w:r>
              <w:rPr>
                <w:rFonts w:ascii="Arial" w:hAnsi="Arial"/>
                <w:b w:val="0"/>
                <w:color w:val="30302F"/>
                <w:sz w:val="20"/>
              </w:rPr>
              <w:t>161,948</w:t>
            </w:r>
          </w:p>
        </w:tc>
      </w:tr>
      <w:tr>
        <w:tc>
          <w:tcPr>
            <w:tcW w:type="dxa" w:w="2357"/>
            <w:shd w:fill="0A5455"/>
          </w:tcPr>
          <w:p>
            <w:pPr>
              <w:spacing w:before="60" w:after="60"/>
            </w:pPr>
            <w:r/>
            <w:r>
              <w:rPr>
                <w:rFonts w:ascii="Arial" w:hAnsi="Arial"/>
                <w:b/>
                <w:color w:val="FFFFFF"/>
                <w:sz w:val="20"/>
              </w:rPr>
              <w:t>Additions: natural expansion</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32</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32</w:t>
            </w:r>
          </w:p>
        </w:tc>
      </w:tr>
      <w:tr>
        <w:tc>
          <w:tcPr>
            <w:tcW w:type="dxa" w:w="2357"/>
            <w:shd w:fill="0A5455"/>
          </w:tcPr>
          <w:p>
            <w:pPr>
              <w:spacing w:before="60" w:after="60"/>
            </w:pPr>
            <w:r/>
            <w:r>
              <w:rPr>
                <w:rFonts w:ascii="Arial" w:hAnsi="Arial"/>
                <w:b/>
                <w:color w:val="FFFFFF"/>
                <w:sz w:val="20"/>
              </w:rPr>
              <w:t>Additions: managed restoration</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1</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1</w:t>
            </w:r>
          </w:p>
        </w:tc>
      </w:tr>
      <w:tr>
        <w:tc>
          <w:tcPr>
            <w:tcW w:type="dxa" w:w="2357"/>
            <w:shd w:fill="0A5455"/>
          </w:tcPr>
          <w:p>
            <w:pPr>
              <w:spacing w:before="60" w:after="60"/>
            </w:pPr>
            <w:r/>
            <w:r>
              <w:rPr>
                <w:rFonts w:ascii="Arial" w:hAnsi="Arial"/>
                <w:b/>
                <w:color w:val="FFFFFF"/>
                <w:sz w:val="20"/>
              </w:rPr>
              <w:t>Additions: reclassification</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0</w:t>
            </w:r>
          </w:p>
        </w:tc>
      </w:tr>
      <w:tr>
        <w:tc>
          <w:tcPr>
            <w:tcW w:type="dxa" w:w="2357"/>
            <w:shd w:fill="0A5455"/>
          </w:tcPr>
          <w:p>
            <w:pPr>
              <w:spacing w:before="60" w:after="60"/>
            </w:pPr>
            <w:r/>
            <w:r>
              <w:rPr>
                <w:rFonts w:ascii="Arial" w:hAnsi="Arial"/>
                <w:b/>
                <w:color w:val="FFFFFF"/>
                <w:sz w:val="20"/>
              </w:rPr>
              <w:t>Total additions</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32</w:t>
            </w:r>
          </w:p>
        </w:tc>
        <w:tc>
          <w:tcPr>
            <w:tcW w:type="dxa" w:w="2357"/>
          </w:tcPr>
          <w:p>
            <w:pPr>
              <w:spacing w:before="60" w:after="60"/>
              <w:jc w:val="center"/>
            </w:pPr>
            <w:r/>
            <w:r>
              <w:rPr>
                <w:rFonts w:ascii="Arial" w:hAnsi="Arial"/>
                <w:b w:val="0"/>
                <w:color w:val="30302F"/>
                <w:sz w:val="20"/>
              </w:rPr>
              <w:t>1</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33</w:t>
            </w:r>
          </w:p>
        </w:tc>
      </w:tr>
      <w:tr>
        <w:tc>
          <w:tcPr>
            <w:tcW w:type="dxa" w:w="2357"/>
            <w:shd w:fill="0A5455"/>
          </w:tcPr>
          <w:p>
            <w:pPr>
              <w:spacing w:before="60" w:after="60"/>
            </w:pPr>
            <w:r/>
            <w:r>
              <w:rPr>
                <w:rFonts w:ascii="Arial" w:hAnsi="Arial"/>
                <w:b/>
                <w:color w:val="FFFFFF"/>
                <w:sz w:val="20"/>
              </w:rPr>
              <w:t>Reductions: natural reduction</w:t>
            </w:r>
          </w:p>
        </w:tc>
        <w:tc>
          <w:tcPr>
            <w:tcW w:type="dxa" w:w="2357"/>
          </w:tcPr>
          <w:p>
            <w:pPr>
              <w:spacing w:before="60" w:after="60"/>
              <w:jc w:val="center"/>
            </w:pPr>
            <w:r/>
            <w:r>
              <w:rPr>
                <w:rFonts w:ascii="Arial" w:hAnsi="Arial"/>
                <w:b w:val="0"/>
                <w:color w:val="30302F"/>
                <w:sz w:val="20"/>
              </w:rPr>
              <w:t>-18</w:t>
            </w:r>
          </w:p>
        </w:tc>
        <w:tc>
          <w:tcPr>
            <w:tcW w:type="dxa" w:w="2357"/>
          </w:tcPr>
          <w:p>
            <w:pPr>
              <w:spacing w:before="60" w:after="60"/>
              <w:jc w:val="center"/>
            </w:pPr>
            <w:r/>
            <w:r>
              <w:rPr>
                <w:rFonts w:ascii="Arial" w:hAnsi="Arial"/>
                <w:b w:val="0"/>
                <w:color w:val="30302F"/>
                <w:sz w:val="20"/>
              </w:rPr>
              <w:t>-12</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-30</w:t>
            </w:r>
          </w:p>
        </w:tc>
      </w:tr>
      <w:tr>
        <w:tc>
          <w:tcPr>
            <w:tcW w:type="dxa" w:w="2357"/>
            <w:shd w:fill="0A5455"/>
          </w:tcPr>
          <w:p>
            <w:pPr>
              <w:spacing w:before="60" w:after="60"/>
            </w:pPr>
            <w:r/>
            <w:r>
              <w:rPr>
                <w:rFonts w:ascii="Arial" w:hAnsi="Arial"/>
                <w:b/>
                <w:color w:val="FFFFFF"/>
                <w:sz w:val="20"/>
              </w:rPr>
              <w:t>Reductions: managed conversion</w:t>
            </w:r>
          </w:p>
        </w:tc>
        <w:tc>
          <w:tcPr>
            <w:tcW w:type="dxa" w:w="2357"/>
          </w:tcPr>
          <w:p>
            <w:pPr>
              <w:spacing w:before="60" w:after="60"/>
              <w:jc w:val="center"/>
            </w:pPr>
            <w:r/>
            <w:r>
              <w:rPr>
                <w:rFonts w:ascii="Arial" w:hAnsi="Arial"/>
                <w:b w:val="0"/>
                <w:color w:val="30302F"/>
                <w:sz w:val="20"/>
              </w:rPr>
              <w:t>-7</w:t>
            </w:r>
          </w:p>
        </w:tc>
        <w:tc>
          <w:tcPr>
            <w:tcW w:type="dxa" w:w="2357"/>
          </w:tcPr>
          <w:p>
            <w:pPr>
              <w:spacing w:before="60" w:after="60"/>
              <w:jc w:val="center"/>
            </w:pPr>
            <w:r/>
            <w:r>
              <w:rPr>
                <w:rFonts w:ascii="Arial" w:hAnsi="Arial"/>
                <w:b w:val="0"/>
                <w:color w:val="30302F"/>
                <w:sz w:val="20"/>
              </w:rPr>
              <w:t>-20</w:t>
            </w:r>
          </w:p>
        </w:tc>
        <w:tc>
          <w:tcPr>
            <w:tcW w:type="dxa" w:w="2357"/>
          </w:tcPr>
          <w:p>
            <w:pPr>
              <w:spacing w:before="60" w:after="60"/>
              <w:jc w:val="center"/>
            </w:pPr>
            <w:r/>
            <w:r>
              <w:rPr>
                <w:rFonts w:ascii="Arial" w:hAnsi="Arial"/>
                <w:b w:val="0"/>
                <w:color w:val="30302F"/>
                <w:sz w:val="20"/>
              </w:rPr>
              <w:t>-1</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-28</w:t>
            </w:r>
          </w:p>
        </w:tc>
      </w:tr>
      <w:tr>
        <w:tc>
          <w:tcPr>
            <w:tcW w:type="dxa" w:w="2357"/>
            <w:shd w:fill="0A5455"/>
          </w:tcPr>
          <w:p>
            <w:pPr>
              <w:spacing w:before="60" w:after="60"/>
            </w:pPr>
            <w:r/>
            <w:r>
              <w:rPr>
                <w:rFonts w:ascii="Arial" w:hAnsi="Arial"/>
                <w:b/>
                <w:color w:val="FFFFFF"/>
                <w:sz w:val="20"/>
              </w:rPr>
              <w:t>Reductions: reclassification</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0</w:t>
            </w:r>
          </w:p>
        </w:tc>
      </w:tr>
      <w:tr>
        <w:tc>
          <w:tcPr>
            <w:tcW w:type="dxa" w:w="2357"/>
            <w:shd w:fill="0A5455"/>
          </w:tcPr>
          <w:p>
            <w:pPr>
              <w:spacing w:before="60" w:after="60"/>
            </w:pPr>
            <w:r/>
            <w:r>
              <w:rPr>
                <w:rFonts w:ascii="Arial" w:hAnsi="Arial"/>
                <w:b/>
                <w:color w:val="FFFFFF"/>
                <w:sz w:val="20"/>
              </w:rPr>
              <w:t>Total reductions</w:t>
            </w:r>
          </w:p>
        </w:tc>
        <w:tc>
          <w:tcPr>
            <w:tcW w:type="dxa" w:w="2357"/>
          </w:tcPr>
          <w:p>
            <w:pPr>
              <w:spacing w:before="60" w:after="60"/>
              <w:jc w:val="center"/>
            </w:pPr>
            <w:r/>
            <w:r>
              <w:rPr>
                <w:rFonts w:ascii="Arial" w:hAnsi="Arial"/>
                <w:b w:val="0"/>
                <w:color w:val="30302F"/>
                <w:sz w:val="20"/>
              </w:rPr>
              <w:t>-25</w:t>
            </w:r>
          </w:p>
        </w:tc>
        <w:tc>
          <w:tcPr>
            <w:tcW w:type="dxa" w:w="2357"/>
          </w:tcPr>
          <w:p>
            <w:pPr>
              <w:spacing w:before="60" w:after="60"/>
              <w:jc w:val="center"/>
            </w:pPr>
            <w:r/>
            <w:r>
              <w:rPr>
                <w:rFonts w:ascii="Arial" w:hAnsi="Arial"/>
                <w:b w:val="0"/>
                <w:color w:val="30302F"/>
                <w:sz w:val="20"/>
              </w:rPr>
              <w:t>-32</w:t>
            </w:r>
          </w:p>
        </w:tc>
        <w:tc>
          <w:tcPr>
            <w:tcW w:type="dxa" w:w="2357"/>
          </w:tcPr>
          <w:p>
            <w:pPr>
              <w:spacing w:before="60" w:after="60"/>
              <w:jc w:val="center"/>
            </w:pPr>
            <w:r/>
            <w:r>
              <w:rPr>
                <w:rFonts w:ascii="Arial" w:hAnsi="Arial"/>
                <w:b w:val="0"/>
                <w:color w:val="30302F"/>
                <w:sz w:val="20"/>
              </w:rPr>
              <w:t>-1</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-58</w:t>
            </w:r>
          </w:p>
        </w:tc>
      </w:tr>
      <w:tr>
        <w:tc>
          <w:tcPr>
            <w:tcW w:type="dxa" w:w="2357"/>
            <w:shd w:fill="0A5455"/>
          </w:tcPr>
          <w:p>
            <w:pPr>
              <w:spacing w:before="60" w:after="60"/>
            </w:pPr>
            <w:r/>
            <w:r>
              <w:rPr>
                <w:rFonts w:ascii="Arial" w:hAnsi="Arial"/>
                <w:b/>
                <w:color w:val="FFFFFF"/>
                <w:sz w:val="20"/>
              </w:rPr>
              <w:t>Net change</w:t>
            </w:r>
          </w:p>
        </w:tc>
        <w:tc>
          <w:tcPr>
            <w:tcW w:type="dxa" w:w="2357"/>
          </w:tcPr>
          <w:p>
            <w:pPr>
              <w:spacing w:before="60" w:after="60"/>
              <w:jc w:val="center"/>
            </w:pPr>
            <w:r/>
            <w:r>
              <w:rPr>
                <w:rFonts w:ascii="Arial" w:hAnsi="Arial"/>
                <w:b w:val="0"/>
                <w:color w:val="30302F"/>
                <w:sz w:val="20"/>
              </w:rPr>
              <w:t>-25</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+25</w:t>
            </w:r>
          </w:p>
        </w:tc>
        <w:tc>
          <w:tcPr>
            <w:tcW w:type="dxa" w:w="2357"/>
          </w:tcPr>
          <w:p>
            <w:pPr>
              <w:spacing w:before="60" w:after="60"/>
              <w:jc w:val="center"/>
            </w:pPr>
            <w:r/>
            <w:r>
              <w:rPr>
                <w:rFonts w:ascii="Arial" w:hAnsi="Arial"/>
                <w:b w:val="0"/>
                <w:color w:val="30302F"/>
                <w:sz w:val="20"/>
              </w:rPr>
              <w:t>0</w:t>
            </w:r>
          </w:p>
        </w:tc>
      </w:tr>
      <w:tr>
        <w:tc>
          <w:tcPr>
            <w:tcW w:type="dxa" w:w="2357"/>
            <w:shd w:fill="0A5455"/>
          </w:tcPr>
          <w:p>
            <w:pPr>
              <w:spacing w:before="60" w:after="60"/>
            </w:pPr>
            <w:r/>
            <w:r>
              <w:rPr>
                <w:rFonts w:ascii="Arial" w:hAnsi="Arial"/>
                <w:b/>
                <w:color w:val="FFFFFF"/>
                <w:sz w:val="20"/>
              </w:rPr>
              <w:t>Closing extent (2020)</w:t>
            </w:r>
          </w:p>
        </w:tc>
        <w:tc>
          <w:tcPr>
            <w:tcW w:type="dxa" w:w="2357"/>
          </w:tcPr>
          <w:p>
            <w:pPr>
              <w:spacing w:before="60" w:after="60"/>
              <w:jc w:val="center"/>
            </w:pPr>
            <w:r/>
            <w:r>
              <w:rPr>
                <w:rFonts w:ascii="Arial" w:hAnsi="Arial"/>
                <w:b w:val="0"/>
                <w:color w:val="30302F"/>
                <w:sz w:val="20"/>
              </w:rPr>
              <w:t>7,395</w:t>
            </w:r>
          </w:p>
        </w:tc>
        <w:tc>
          <w:tcPr>
            <w:tcW w:type="dxa" w:w="2357"/>
          </w:tcPr>
          <w:p>
            <w:pPr>
              <w:spacing w:before="60" w:after="60"/>
              <w:jc w:val="center"/>
            </w:pPr>
            <w:r/>
            <w:r>
              <w:rPr>
                <w:rFonts w:ascii="Arial" w:hAnsi="Arial"/>
                <w:b w:val="0"/>
                <w:color w:val="30302F"/>
                <w:sz w:val="20"/>
              </w:rPr>
              <w:t>4,856</w:t>
            </w:r>
          </w:p>
        </w:tc>
        <w:tc>
          <w:tcPr>
            <w:tcW w:type="dxa" w:w="2357"/>
          </w:tcPr>
          <w:p>
            <w:pPr>
              <w:spacing w:before="60" w:after="60"/>
              <w:jc w:val="center"/>
            </w:pPr>
            <w:r/>
            <w:r>
              <w:rPr>
                <w:rFonts w:ascii="Arial" w:hAnsi="Arial"/>
                <w:b w:val="0"/>
                <w:color w:val="30302F"/>
                <w:sz w:val="20"/>
              </w:rPr>
              <w:t>19</w:t>
            </w:r>
          </w:p>
        </w:tc>
        <w:tc>
          <w:tcPr>
            <w:tcW w:type="dxa" w:w="2357"/>
          </w:tcPr>
          <w:p>
            <w:pPr>
              <w:spacing w:before="60" w:after="60"/>
              <w:jc w:val="center"/>
            </w:pPr>
            <w:r/>
            <w:r>
              <w:rPr>
                <w:rFonts w:ascii="Arial" w:hAnsi="Arial"/>
                <w:b w:val="0"/>
                <w:color w:val="30302F"/>
                <w:sz w:val="20"/>
              </w:rPr>
              <w:t>149,678</w:t>
            </w:r>
          </w:p>
        </w:tc>
        <w:tc>
          <w:tcPr>
            <w:tcW w:type="dxa" w:w="2357"/>
          </w:tcPr>
          <w:p>
            <w:pPr>
              <w:spacing w:before="60" w:after="60"/>
              <w:jc w:val="center"/>
            </w:pPr>
            <w:r/>
            <w:r>
              <w:rPr>
                <w:rFonts w:ascii="Arial" w:hAnsi="Arial"/>
                <w:b w:val="0"/>
                <w:color w:val="30302F"/>
                <w:sz w:val="20"/>
              </w:rPr>
              <w:t>161,948</w:t>
            </w:r>
          </w:p>
        </w:tc>
      </w:tr>
    </w:tbl>
    <w:p>
      <w:pPr>
        <w:spacing w:before="160"/>
      </w:pPr>
      <w:r>
        <w:rPr>
          <w:rFonts w:ascii="Arial" w:hAnsi="Arial"/>
          <w:b/>
          <w:color w:val="0A5455"/>
          <w:sz w:val="20"/>
        </w:rPr>
        <w:t>Interpretation:</w:t>
      </w:r>
    </w:p>
    <w:p>
      <w:pPr>
        <w:spacing w:after="120"/>
      </w:pPr>
      <w:r>
        <w:rPr>
          <w:rFonts w:ascii="Arial" w:hAnsi="Arial"/>
          <w:b w:val="0"/>
          <w:color w:val="30302F"/>
          <w:sz w:val="20"/>
        </w:rPr>
        <w:t>The total accounting area (161,948 ha) remains constant between opening and closing -- this is an accounting identity. Coral reefs declined by 25 ha (0.3%), primarily from natural reduction linked to the 2016 mass-bleaching event's lagged mortality. Seagrass showed no net change: natural expansion (32 ha) was exactly offset by reductions. Mangroves are a very small component (19 ha) and remained stable. The 25 ha lost from reef and seagrass was reclassified to sand/rubble/deep water.</w:t>
      </w:r>
    </w:p>
    <w:p>
      <w:r>
        <w:br w:type="page"/>
      </w:r>
    </w:p>
    <w:p>
      <w:r>
        <w:rPr>
          <w:rFonts w:ascii="Arial" w:hAnsi="Arial"/>
          <w:b w:val="0"/>
          <w:color w:val="0A5455"/>
          <w:sz w:val="20"/>
        </w:rPr>
        <w:t>Table 2: Ecosystem Extent Change Matrix (hectares, 2017-2020)</w:t>
      </w:r>
    </w:p>
    <w:p>
      <w:pPr>
        <w:spacing w:before="80" w:after="80"/>
        <w:keepNext/>
      </w:pPr>
      <w:r>
        <w:rPr>
          <w:rFonts w:ascii="Arial" w:hAnsi="Arial"/>
          <w:b w:val="0"/>
          <w:color w:val="555555"/>
          <w:sz w:val="20"/>
        </w:rPr>
        <w:t>Diagonal cells (bold) = area that stayed the same type. Off-diagonal = transitions.</w:t>
      </w:r>
    </w:p>
    <w:tbl>
      <w:tblPr>
        <w:tblW w:type="auto" w:w="0"/>
        <w:jc w:val="center"/>
        <w:tblLook w:firstColumn="1" w:firstRow="1" w:lastColumn="0" w:lastRow="0" w:noHBand="0" w:noVBand="1" w:val="04A0"/>
        <w:tblBorders>
          <w:top w:val="single" w:sz="4" w:color="404040"/>
          <w:left w:val="single" w:sz="4" w:color="404040"/>
          <w:bottom w:val="single" w:sz="4" w:color="404040"/>
          <w:right w:val="single" w:sz="4" w:color="404040"/>
          <w:insideH w:val="single" w:sz="4" w:color="404040"/>
          <w:insideV w:val="single" w:sz="4" w:color="404040"/>
        </w:tblBorders>
      </w:tblPr>
      <w:tblGrid>
        <w:gridCol w:w="2357"/>
        <w:gridCol w:w="2357"/>
        <w:gridCol w:w="2357"/>
        <w:gridCol w:w="2357"/>
        <w:gridCol w:w="2357"/>
        <w:gridCol w:w="2357"/>
      </w:tblGrid>
      <w:tr>
        <w:tc>
          <w:tcPr>
            <w:tcW w:type="dxa" w:w="2357"/>
            <w:shd w:fill="3B9C7B"/>
          </w:tcPr>
          <w:p>
            <w:pPr>
              <w:jc w:val="center"/>
            </w:pPr>
            <w:r/>
            <w:r>
              <w:rPr>
                <w:rFonts w:ascii="Arial" w:hAnsi="Arial"/>
                <w:b/>
                <w:color w:val="FFFFFF"/>
                <w:sz w:val="20"/>
              </w:rPr>
              <w:t>Opening \ Closing</w:t>
            </w:r>
          </w:p>
        </w:tc>
        <w:tc>
          <w:tcPr>
            <w:tcW w:type="dxa" w:w="2357"/>
            <w:shd w:fill="3B9C7B"/>
          </w:tcPr>
          <w:p>
            <w:pPr>
              <w:jc w:val="center"/>
            </w:pPr>
            <w:r/>
            <w:r>
              <w:rPr>
                <w:rFonts w:ascii="Arial" w:hAnsi="Arial"/>
                <w:b/>
                <w:color w:val="FFFFFF"/>
                <w:sz w:val="20"/>
              </w:rPr>
              <w:t>Photic coral</w:t>
              <w:br/>
              <w:t>reefs (M1.3)</w:t>
            </w:r>
          </w:p>
        </w:tc>
        <w:tc>
          <w:tcPr>
            <w:tcW w:type="dxa" w:w="2357"/>
            <w:shd w:fill="3B9C7B"/>
          </w:tcPr>
          <w:p>
            <w:pPr>
              <w:jc w:val="center"/>
            </w:pPr>
            <w:r/>
            <w:r>
              <w:rPr>
                <w:rFonts w:ascii="Arial" w:hAnsi="Arial"/>
                <w:b/>
                <w:color w:val="FFFFFF"/>
                <w:sz w:val="20"/>
              </w:rPr>
              <w:t>Seagrass</w:t>
              <w:br/>
              <w:t>meadows (M1.1)</w:t>
            </w:r>
          </w:p>
        </w:tc>
        <w:tc>
          <w:tcPr>
            <w:tcW w:type="dxa" w:w="2357"/>
            <w:shd w:fill="3B9C7B"/>
          </w:tcPr>
          <w:p>
            <w:pPr>
              <w:jc w:val="center"/>
            </w:pPr>
            <w:r/>
            <w:r>
              <w:rPr>
                <w:rFonts w:ascii="Arial" w:hAnsi="Arial"/>
                <w:b/>
                <w:color w:val="FFFFFF"/>
                <w:sz w:val="20"/>
              </w:rPr>
              <w:t>Mangroves</w:t>
              <w:br/>
              <w:t>(MFT1.2)</w:t>
            </w:r>
          </w:p>
        </w:tc>
        <w:tc>
          <w:tcPr>
            <w:tcW w:type="dxa" w:w="2357"/>
            <w:shd w:fill="3B9C7B"/>
          </w:tcPr>
          <w:p>
            <w:pPr>
              <w:jc w:val="center"/>
            </w:pPr>
            <w:r/>
            <w:r>
              <w:rPr>
                <w:rFonts w:ascii="Arial" w:hAnsi="Arial"/>
                <w:b/>
                <w:color w:val="FFFFFF"/>
                <w:sz w:val="20"/>
              </w:rPr>
              <w:t>Sand / rubble /</w:t>
              <w:br/>
              <w:t>deep water</w:t>
            </w:r>
          </w:p>
        </w:tc>
        <w:tc>
          <w:tcPr>
            <w:tcW w:type="dxa" w:w="2357"/>
            <w:shd w:fill="3B9C7B"/>
          </w:tcPr>
          <w:p>
            <w:pPr>
              <w:jc w:val="center"/>
            </w:pPr>
            <w:r/>
            <w:r>
              <w:rPr>
                <w:rFonts w:ascii="Arial" w:hAnsi="Arial"/>
                <w:b/>
                <w:color w:val="FFFFFF"/>
                <w:sz w:val="20"/>
              </w:rPr>
              <w:t>Opening</w:t>
              <w:br/>
              <w:t>total</w:t>
            </w:r>
          </w:p>
        </w:tc>
      </w:tr>
      <w:tr>
        <w:tc>
          <w:tcPr>
            <w:tcW w:type="dxa" w:w="2357"/>
            <w:shd w:fill="0A5455"/>
          </w:tcPr>
          <w:p>
            <w:pPr>
              <w:spacing w:before="60" w:after="60"/>
            </w:pPr>
            <w:r/>
            <w:r>
              <w:rPr>
                <w:rFonts w:ascii="Arial" w:hAnsi="Arial"/>
                <w:b/>
                <w:color w:val="FFFFFF"/>
                <w:sz w:val="20"/>
              </w:rPr>
              <w:t>Photic coral reefs (M1.3)</w:t>
            </w:r>
          </w:p>
        </w:tc>
        <w:tc>
          <w:tcPr>
            <w:tcW w:type="dxa" w:w="2357"/>
          </w:tcPr>
          <w:p>
            <w:pPr>
              <w:spacing w:before="60" w:after="60"/>
              <w:jc w:val="center"/>
            </w:pPr>
            <w:r/>
            <w:r>
              <w:rPr>
                <w:rFonts w:ascii="Arial" w:hAnsi="Arial"/>
                <w:b w:val="0"/>
                <w:color w:val="30302F"/>
                <w:sz w:val="20"/>
              </w:rPr>
              <w:t>7,395</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25</w:t>
            </w:r>
          </w:p>
        </w:tc>
        <w:tc>
          <w:tcPr>
            <w:tcW w:type="dxa" w:w="2357"/>
          </w:tcPr>
          <w:p>
            <w:pPr>
              <w:spacing w:before="60" w:after="60"/>
              <w:jc w:val="center"/>
            </w:pPr>
            <w:r/>
            <w:r>
              <w:rPr>
                <w:rFonts w:ascii="Arial" w:hAnsi="Arial"/>
                <w:b w:val="0"/>
                <w:color w:val="30302F"/>
                <w:sz w:val="20"/>
              </w:rPr>
              <w:t>7,420</w:t>
            </w:r>
          </w:p>
        </w:tc>
      </w:tr>
      <w:tr>
        <w:tc>
          <w:tcPr>
            <w:tcW w:type="dxa" w:w="2357"/>
            <w:shd w:fill="0A5455"/>
          </w:tcPr>
          <w:p>
            <w:pPr>
              <w:spacing w:before="60" w:after="60"/>
            </w:pPr>
            <w:r/>
            <w:r>
              <w:rPr>
                <w:rFonts w:ascii="Arial" w:hAnsi="Arial"/>
                <w:b/>
                <w:color w:val="FFFFFF"/>
                <w:sz w:val="20"/>
              </w:rPr>
              <w:t>Seagrass meadows (M1.1)</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4,824</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32</w:t>
            </w:r>
          </w:p>
        </w:tc>
        <w:tc>
          <w:tcPr>
            <w:tcW w:type="dxa" w:w="2357"/>
          </w:tcPr>
          <w:p>
            <w:pPr>
              <w:spacing w:before="60" w:after="60"/>
              <w:jc w:val="center"/>
            </w:pPr>
            <w:r/>
            <w:r>
              <w:rPr>
                <w:rFonts w:ascii="Arial" w:hAnsi="Arial"/>
                <w:b w:val="0"/>
                <w:color w:val="30302F"/>
                <w:sz w:val="20"/>
              </w:rPr>
              <w:t>4,856</w:t>
            </w:r>
          </w:p>
        </w:tc>
      </w:tr>
      <w:tr>
        <w:tc>
          <w:tcPr>
            <w:tcW w:type="dxa" w:w="2357"/>
            <w:shd w:fill="0A5455"/>
          </w:tcPr>
          <w:p>
            <w:pPr>
              <w:spacing w:before="60" w:after="60"/>
            </w:pPr>
            <w:r/>
            <w:r>
              <w:rPr>
                <w:rFonts w:ascii="Arial" w:hAnsi="Arial"/>
                <w:b/>
                <w:color w:val="FFFFFF"/>
                <w:sz w:val="20"/>
              </w:rPr>
              <w:t>Mangroves (MFT1.2)</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18</w:t>
            </w:r>
          </w:p>
        </w:tc>
        <w:tc>
          <w:tcPr>
            <w:tcW w:type="dxa" w:w="2357"/>
          </w:tcPr>
          <w:p>
            <w:pPr>
              <w:spacing w:before="60" w:after="60"/>
              <w:jc w:val="center"/>
            </w:pPr>
            <w:r/>
            <w:r>
              <w:rPr>
                <w:rFonts w:ascii="Arial" w:hAnsi="Arial"/>
                <w:b w:val="0"/>
                <w:color w:val="30302F"/>
                <w:sz w:val="20"/>
              </w:rPr>
              <w:t>1</w:t>
            </w:r>
          </w:p>
        </w:tc>
        <w:tc>
          <w:tcPr>
            <w:tcW w:type="dxa" w:w="2357"/>
          </w:tcPr>
          <w:p>
            <w:pPr>
              <w:spacing w:before="60" w:after="60"/>
              <w:jc w:val="center"/>
            </w:pPr>
            <w:r/>
            <w:r>
              <w:rPr>
                <w:rFonts w:ascii="Arial" w:hAnsi="Arial"/>
                <w:b w:val="0"/>
                <w:color w:val="30302F"/>
                <w:sz w:val="20"/>
              </w:rPr>
              <w:t>19</w:t>
            </w:r>
          </w:p>
        </w:tc>
      </w:tr>
      <w:tr>
        <w:tc>
          <w:tcPr>
            <w:tcW w:type="dxa" w:w="2357"/>
            <w:shd w:fill="0A5455"/>
          </w:tcPr>
          <w:p>
            <w:pPr>
              <w:spacing w:before="60" w:after="60"/>
            </w:pPr>
            <w:r/>
            <w:r>
              <w:rPr>
                <w:rFonts w:ascii="Arial" w:hAnsi="Arial"/>
                <w:b/>
                <w:color w:val="FFFFFF"/>
                <w:sz w:val="20"/>
              </w:rPr>
              <w:t>Sand / rubble / deep water</w:t>
            </w:r>
          </w:p>
        </w:tc>
        <w:tc>
          <w:tcPr>
            <w:tcW w:type="dxa" w:w="2357"/>
          </w:tcPr>
          <w:p>
            <w:pPr>
              <w:spacing w:before="60" w:after="60"/>
              <w:jc w:val="center"/>
            </w:pPr>
            <w:r/>
            <w:r>
              <w:rPr>
                <w:rFonts w:ascii="Arial" w:hAnsi="Arial"/>
                <w:b w:val="0"/>
                <w:color w:val="30302F"/>
                <w:sz w:val="20"/>
              </w:rPr>
              <w:t>0</w:t>
            </w:r>
          </w:p>
        </w:tc>
        <w:tc>
          <w:tcPr>
            <w:tcW w:type="dxa" w:w="2357"/>
          </w:tcPr>
          <w:p>
            <w:pPr>
              <w:spacing w:before="60" w:after="60"/>
              <w:jc w:val="center"/>
            </w:pPr>
            <w:r/>
            <w:r>
              <w:rPr>
                <w:rFonts w:ascii="Arial" w:hAnsi="Arial"/>
                <w:b w:val="0"/>
                <w:color w:val="30302F"/>
                <w:sz w:val="20"/>
              </w:rPr>
              <w:t>32</w:t>
            </w:r>
          </w:p>
        </w:tc>
        <w:tc>
          <w:tcPr>
            <w:tcW w:type="dxa" w:w="2357"/>
          </w:tcPr>
          <w:p>
            <w:pPr>
              <w:spacing w:before="60" w:after="60"/>
              <w:jc w:val="center"/>
            </w:pPr>
            <w:r/>
            <w:r>
              <w:rPr>
                <w:rFonts w:ascii="Arial" w:hAnsi="Arial"/>
                <w:b w:val="0"/>
                <w:color w:val="30302F"/>
                <w:sz w:val="20"/>
              </w:rPr>
              <w:t>1</w:t>
            </w:r>
          </w:p>
        </w:tc>
        <w:tc>
          <w:tcPr>
            <w:tcW w:type="dxa" w:w="2357"/>
          </w:tcPr>
          <w:p>
            <w:pPr>
              <w:spacing w:before="60" w:after="60"/>
              <w:jc w:val="center"/>
            </w:pPr>
            <w:r/>
            <w:r>
              <w:rPr>
                <w:rFonts w:ascii="Arial" w:hAnsi="Arial"/>
                <w:b w:val="0"/>
                <w:color w:val="30302F"/>
                <w:sz w:val="20"/>
              </w:rPr>
              <w:t>149,620</w:t>
            </w:r>
          </w:p>
        </w:tc>
        <w:tc>
          <w:tcPr>
            <w:tcW w:type="dxa" w:w="2357"/>
          </w:tcPr>
          <w:p>
            <w:pPr>
              <w:spacing w:before="60" w:after="60"/>
              <w:jc w:val="center"/>
            </w:pPr>
            <w:r/>
            <w:r>
              <w:rPr>
                <w:rFonts w:ascii="Arial" w:hAnsi="Arial"/>
                <w:b w:val="0"/>
                <w:color w:val="30302F"/>
                <w:sz w:val="20"/>
              </w:rPr>
              <w:t>149,653</w:t>
            </w:r>
          </w:p>
        </w:tc>
      </w:tr>
      <w:tr>
        <w:tc>
          <w:tcPr>
            <w:tcW w:type="dxa" w:w="2357"/>
            <w:shd w:fill="0A5455"/>
          </w:tcPr>
          <w:p>
            <w:pPr>
              <w:spacing w:before="60" w:after="60"/>
            </w:pPr>
            <w:r/>
            <w:r>
              <w:rPr>
                <w:rFonts w:ascii="Arial" w:hAnsi="Arial"/>
                <w:b/>
                <w:color w:val="FFFFFF"/>
                <w:sz w:val="20"/>
              </w:rPr>
              <w:t>Closing total</w:t>
            </w:r>
          </w:p>
        </w:tc>
        <w:tc>
          <w:tcPr>
            <w:tcW w:type="dxa" w:w="2357"/>
          </w:tcPr>
          <w:p>
            <w:pPr>
              <w:spacing w:before="60" w:after="60"/>
              <w:jc w:val="center"/>
            </w:pPr>
            <w:r/>
            <w:r>
              <w:rPr>
                <w:rFonts w:ascii="Arial" w:hAnsi="Arial"/>
                <w:b w:val="0"/>
                <w:color w:val="30302F"/>
                <w:sz w:val="20"/>
              </w:rPr>
              <w:t>7,395</w:t>
            </w:r>
          </w:p>
        </w:tc>
        <w:tc>
          <w:tcPr>
            <w:tcW w:type="dxa" w:w="2357"/>
          </w:tcPr>
          <w:p>
            <w:pPr>
              <w:spacing w:before="60" w:after="60"/>
              <w:jc w:val="center"/>
            </w:pPr>
            <w:r/>
            <w:r>
              <w:rPr>
                <w:rFonts w:ascii="Arial" w:hAnsi="Arial"/>
                <w:b w:val="0"/>
                <w:color w:val="30302F"/>
                <w:sz w:val="20"/>
              </w:rPr>
              <w:t>4,856</w:t>
            </w:r>
          </w:p>
        </w:tc>
        <w:tc>
          <w:tcPr>
            <w:tcW w:type="dxa" w:w="2357"/>
          </w:tcPr>
          <w:p>
            <w:pPr>
              <w:spacing w:before="60" w:after="60"/>
              <w:jc w:val="center"/>
            </w:pPr>
            <w:r/>
            <w:r>
              <w:rPr>
                <w:rFonts w:ascii="Arial" w:hAnsi="Arial"/>
                <w:b w:val="0"/>
                <w:color w:val="30302F"/>
                <w:sz w:val="20"/>
              </w:rPr>
              <w:t>19</w:t>
            </w:r>
          </w:p>
        </w:tc>
        <w:tc>
          <w:tcPr>
            <w:tcW w:type="dxa" w:w="2357"/>
          </w:tcPr>
          <w:p>
            <w:pPr>
              <w:spacing w:before="60" w:after="60"/>
              <w:jc w:val="center"/>
            </w:pPr>
            <w:r/>
            <w:r>
              <w:rPr>
                <w:rFonts w:ascii="Arial" w:hAnsi="Arial"/>
                <w:b w:val="0"/>
                <w:color w:val="30302F"/>
                <w:sz w:val="20"/>
              </w:rPr>
              <w:t>149,678</w:t>
            </w:r>
          </w:p>
        </w:tc>
        <w:tc>
          <w:tcPr>
            <w:tcW w:type="dxa" w:w="2357"/>
          </w:tcPr>
          <w:p>
            <w:pPr>
              <w:spacing w:before="60" w:after="60"/>
              <w:jc w:val="center"/>
            </w:pPr>
            <w:r/>
            <w:r>
              <w:rPr>
                <w:rFonts w:ascii="Arial" w:hAnsi="Arial"/>
                <w:b w:val="0"/>
                <w:color w:val="30302F"/>
                <w:sz w:val="20"/>
              </w:rPr>
              <w:t>161,948</w:t>
            </w:r>
          </w:p>
        </w:tc>
      </w:tr>
    </w:tbl>
    <w:p>
      <w:pPr>
        <w:spacing w:before="160"/>
      </w:pPr>
      <w:r>
        <w:rPr>
          <w:rFonts w:ascii="Arial" w:hAnsi="Arial"/>
          <w:b/>
          <w:color w:val="0A5455"/>
          <w:sz w:val="20"/>
        </w:rPr>
        <w:t>Reading the change matrix:</w:t>
      </w:r>
    </w:p>
    <w:p>
      <w:pPr>
        <w:spacing w:after="120"/>
      </w:pPr>
      <w:r>
        <w:rPr>
          <w:rFonts w:ascii="Arial" w:hAnsi="Arial"/>
          <w:b w:val="0"/>
          <w:color w:val="30302F"/>
          <w:sz w:val="20"/>
        </w:rPr>
        <w:t>Read across rows to see where opening area went. For example, of the 7,420 ha of coral reef in 2017, 7,395 ha stayed as reef and 25 ha converted to sand/rubble. Read down columns to see where closing area came from. The diagonal shows stable area; off-diagonal shows transitions. Note that seagrass gained 32 ha from sand but lost 32 ha back -- so net change was zero, even though 64 ha of transitions occurred.</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