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 w:val="0"/>
          <w:color w:val="0A5455"/>
          <w:sz w:val="20"/>
        </w:rPr>
        <w:t>Condition Account -- Blank Tables</w:t>
      </w:r>
    </w:p>
    <w:p>
      <w:r>
        <w:rPr>
          <w:rFonts w:ascii="Arial" w:hAnsi="Arial"/>
          <w:b w:val="0"/>
          <w:color w:val="3B9C7B"/>
          <w:sz w:val="20"/>
        </w:rPr>
        <w:t>Fill in with your country's data</w:t>
      </w:r>
    </w:p>
    <w:p>
      <w:pPr>
        <w:spacing w:before="40"/>
      </w:pPr>
      <w:r>
        <w:rPr>
          <w:rFonts w:ascii="Arial" w:hAnsi="Arial"/>
          <w:b w:val="0"/>
          <w:color w:val="717171"/>
          <w:sz w:val="20"/>
        </w:rPr>
        <w:t>Ecosystem type: ____________  |  Accounting area: ____________  |  Opening year: ______  |  Closing year: ______</w:t>
      </w:r>
    </w:p>
    <w:p/>
    <w:p>
      <w:pPr>
        <w:keepNext/>
      </w:pPr>
      <w:r>
        <w:rPr>
          <w:rFonts w:ascii="Arial" w:hAnsi="Arial"/>
          <w:b w:val="0"/>
          <w:color w:val="0A5455"/>
          <w:sz w:val="20"/>
        </w:rPr>
        <w:t>Table 3: Ecosystem Condition Account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</w:tblPr>
      <w:tblGrid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</w:tblGrid>
      <w:tr>
        <w:tc>
          <w:tcPr>
            <w:tcW w:type="dxa" w:w="1414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Indicator</w:t>
            </w:r>
          </w:p>
        </w:tc>
        <w:tc>
          <w:tcPr>
            <w:tcW w:type="dxa" w:w="1414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Unit</w:t>
            </w:r>
          </w:p>
        </w:tc>
        <w:tc>
          <w:tcPr>
            <w:tcW w:type="dxa" w:w="1414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Direction</w:t>
              <w:br/>
              <w:t>(higher is</w:t>
              <w:br/>
              <w:t>better/worse)</w:t>
            </w:r>
          </w:p>
        </w:tc>
        <w:tc>
          <w:tcPr>
            <w:tcW w:type="dxa" w:w="1414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Reference</w:t>
              <w:br/>
              <w:t>level</w:t>
            </w:r>
          </w:p>
        </w:tc>
        <w:tc>
          <w:tcPr>
            <w:tcW w:type="dxa" w:w="1414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Opening</w:t>
              <w:br/>
              <w:t>value</w:t>
            </w:r>
          </w:p>
        </w:tc>
        <w:tc>
          <w:tcPr>
            <w:tcW w:type="dxa" w:w="1414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Opening</w:t>
              <w:br/>
              <w:t>CI</w:t>
            </w:r>
          </w:p>
        </w:tc>
        <w:tc>
          <w:tcPr>
            <w:tcW w:type="dxa" w:w="1414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Closing</w:t>
              <w:br/>
              <w:t>value</w:t>
            </w:r>
          </w:p>
        </w:tc>
        <w:tc>
          <w:tcPr>
            <w:tcW w:type="dxa" w:w="1414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Closing</w:t>
              <w:br/>
              <w:t>CI</w:t>
            </w:r>
          </w:p>
        </w:tc>
        <w:tc>
          <w:tcPr>
            <w:tcW w:type="dxa" w:w="1414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Change</w:t>
              <w:br/>
              <w:t>in CI</w:t>
            </w:r>
          </w:p>
        </w:tc>
        <w:tc>
          <w:tcPr>
            <w:tcW w:type="dxa" w:w="1414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414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Indicator 1</w:t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1414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Indicator 2</w:t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1414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Indicator 3</w:t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1414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Indicator 4</w:t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1414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Indicator 5</w:t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1414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Indicator 6</w:t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1414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Composite CI</w:t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14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average</w:t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14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</w:tbl>
    <w:p>
      <w:pPr>
        <w:spacing w:before="40"/>
      </w:pPr>
      <w:r>
        <w:rPr>
          <w:rFonts w:ascii="Arial" w:hAnsi="Arial"/>
          <w:b w:val="0"/>
          <w:color w:val="717171"/>
          <w:sz w:val="20"/>
        </w:rPr>
        <w:t>CI = Condition Index (0 = degraded, 1 = reference). Higher-is-better: CI = Value / Reference. Higher-is-worse: CI = 1 - (Value / Reference). Capped at 0 to 1.</w:t>
      </w:r>
    </w:p>
    <w:p/>
    <w:p>
      <w:pPr>
        <w:keepNext/>
      </w:pPr>
      <w:r>
        <w:rPr>
          <w:rFonts w:ascii="Arial" w:hAnsi="Arial"/>
          <w:b w:val="0"/>
          <w:color w:val="0A5455"/>
          <w:sz w:val="20"/>
        </w:rPr>
        <w:t>Reference Levels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Indicator</w:t>
            </w:r>
          </w:p>
        </w:tc>
        <w:tc>
          <w:tcPr>
            <w:tcW w:type="dxa" w:w="2828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Unit</w:t>
            </w:r>
          </w:p>
        </w:tc>
        <w:tc>
          <w:tcPr>
            <w:tcW w:type="dxa" w:w="2828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Direction</w:t>
            </w:r>
          </w:p>
        </w:tc>
        <w:tc>
          <w:tcPr>
            <w:tcW w:type="dxa" w:w="2828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Reference level</w:t>
            </w:r>
          </w:p>
        </w:tc>
        <w:tc>
          <w:tcPr>
            <w:tcW w:type="dxa" w:w="2828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2828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828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828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828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828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828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