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20"/>
        </w:rPr>
        <w:t>Worked Example: Waste and Emissions -- Coastal Country</w:t>
      </w:r>
    </w:p>
    <w:p>
      <w:r>
        <w:rPr>
          <w:rFonts w:ascii="Arial" w:hAnsi="Arial"/>
          <w:b w:val="0"/>
          <w:color w:val="3B9C7B"/>
          <w:sz w:val="20"/>
        </w:rPr>
        <w:t>SEEA-CF framework: tracking flows of residuals from the economy to the marine environment  |  Year: 2022</w:t>
      </w:r>
    </w:p>
    <w:p>
      <w:pPr>
        <w:spacing w:before="80" w:after="80"/>
      </w:pPr>
      <w:r>
        <w:rPr>
          <w:rFonts w:ascii="Arial" w:hAnsi="Arial"/>
          <w:b w:val="0"/>
          <w:color w:val="555555"/>
          <w:sz w:val="20"/>
        </w:rPr>
        <w:t>Illustrative mid-income coastal country (~15 million population, mixed agricultural/industrial/service economy). Data compiled from environmental ministry reports, port authority records, and UNEP Global Wastewater Initiative.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9: Water Emissions to the Marine Environment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Source sector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Nitrogen</w:t>
              <w:br/>
              <w:t>(tonnes N/yr)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Phosphorus</w:t>
              <w:br/>
              <w:t>(tonnes P/yr)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BOD</w:t>
              <w:br/>
              <w:t>(tonnes O₂/yr)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Heavy metals</w:t>
              <w:br/>
              <w:t>(tonnes/yr)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load</w:t>
              <w:br/>
              <w:t>(tonnes/yr)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Agriculture (fertiliser</w:t>
              <w:br/>
              <w:t>runoff, livestock)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12,400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3,100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8,200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23,715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Manufacturing</w:t>
              <w:br/>
              <w:t>(food processing, textiles)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1,800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420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6,500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85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8,805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Sewerage: treated</w:t>
              <w:br/>
              <w:t>(secondary treatment)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2,200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380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1,800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4,388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Sewerage: untreated</w:t>
              <w:br/>
              <w:t>(direct discharge)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8,600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2,100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18,500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29,212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Households (direct</w:t>
              <w:br/>
              <w:t>coastal discharge)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1,400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350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3,200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4,952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Aquaculture</w:t>
              <w:br/>
              <w:t>(fish/shrimp farms)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2,100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680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4,800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7,585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 (stormwater,</w:t>
              <w:br/>
              <w:t>recreational vessels)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1,200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2,123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29,300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7,150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44,200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130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80,780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The largest pollution source by volume is untreated sewage discharge (29,212 tonnes/yr, 36% of total load), highlighting the critical infrastructure gap. Agriculture is the largest source of nitrogen (12,400 tonnes N/yr, 42% of total N) due to fertiliser runoff. Manufacturing contributes the most heavy metals (85 tonnes/yr, 65%). BOD load is dominated by untreated sewage (18,500 tonnes, 42%), which drives coastal deoxygenation.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10: Solid Waste Entering the Marine Environment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Waste type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Land-based</w:t>
              <w:br/>
              <w:t>sources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Sea-based</w:t>
              <w:br/>
              <w:t>sources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  <w:br/>
              <w:t>(tonnes/yr)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Plastics: macroplastic</w:t>
              <w:br/>
              <w:t>(packaging, bags, bottles)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8,100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1,300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9,400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52%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Plastics: microplastic</w:t>
              <w:br/>
              <w:t>(fibres, pellets, fragments)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1,200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1,800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10%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Fishing gear</w:t>
              <w:br/>
              <w:t>(nets, lines, traps)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2,000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2,000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11%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Ship waste</w:t>
              <w:br/>
              <w:t>(bilge, cargo residue)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850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850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5%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Sewage sludge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1,500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1,500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8%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Organic waste</w:t>
              <w:br/>
              <w:t>(food, vegetation)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1,800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2,000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11%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 (glass, metal,</w:t>
              <w:br/>
              <w:t>construction debris)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350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450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3%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12,950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5,050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100%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The most persistent pollutant is plastic waste, comprising 62% of total marine solid waste (macro + micro combined: 11,200 tonnes). Land-based sources dominate (72%), but sea-based sources are significant (28%), mainly from fishing gear (2,000 tonnes, 11% of total) and commercial shipping. Fishing gear, though smaller in volume than packaging plastics, causes disproportionate ecological harm through ghost fishing. The 52% macroplastic share aligns with global estimates (Jambeck et al. 2015).</w:t>
      </w:r>
    </w:p>
    <w:p>
      <w:r>
        <w:br w:type="page"/>
      </w:r>
    </w:p>
    <w:p>
      <w:pPr>
        <w:keepNext/>
      </w:pPr>
      <w:r>
        <w:rPr>
          <w:rFonts w:ascii="Arial" w:hAnsi="Arial"/>
          <w:b w:val="0"/>
          <w:color w:val="0A5455"/>
          <w:sz w:val="20"/>
        </w:rPr>
        <w:t>Table 11: Air Emissions from Ocean Industries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sector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Fuel consumed</w:t>
              <w:br/>
              <w:t>(tonnes/yr)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CO₂</w:t>
              <w:br/>
              <w:t>(tonnes/yr)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SO₂</w:t>
              <w:br/>
              <w:t>(tonnes/yr)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NOx</w:t>
              <w:br/>
              <w:t>(tonnes/yr)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PM₂.₅</w:t>
              <w:br/>
              <w:t>(tonnes/yr)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International shipping</w:t>
              <w:br/>
              <w:t>(IMO-registered)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185,000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573,500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9,250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14,800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1,295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Domestic shipping</w:t>
              <w:br/>
              <w:t>and ferries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42,000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130,200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2,100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3,360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294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Fishing fleet</w:t>
              <w:br/>
              <w:t>(motorised vessels)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28,000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86,800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1,400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2,240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196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Offshore oil and gas</w:t>
              <w:br/>
              <w:t>(platforms, supply)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15,500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48,050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775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1,240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109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Port operations</w:t>
              <w:br/>
              <w:t>(cranes, vehicles, tugs)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8,500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26,350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425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680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60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279,000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864,900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13,950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22,320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1,954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Maritime shipping (international + domestic) dominates air emissions from the ocean economy, accounting for 81% of CO₂, 81% of SO₂, and 81% of NOx. International shipping alone contributes 66% of total ocean-sector CO₂. The fishing fleet, though smaller in absolute emissions, operates closer to shore and in ecologically sensitive areas. SO₂ emissions are a particular concern for port-adjacent communities and are subject to IMO 2020 sulphur regulations (0.50% m/m fuel sulphur limit).</w:t>
      </w:r>
    </w:p>
    <w:p>
      <w:pPr>
        <w:spacing w:before="160"/>
      </w:pPr>
      <w:r>
        <w:rPr>
          <w:rFonts w:ascii="Arial" w:hAnsi="Arial"/>
          <w:b/>
          <w:color w:val="0A5455"/>
          <w:sz w:val="20"/>
        </w:rPr>
        <w:t>Policy linkage: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These tables directly support SDG 14 (Life Below Water) indicator 14.1.1 (coastal eutrophication / floating plastic debris density) and can feed into national GHG inventory reporting under UNFCCC. The separation of treated vs. untreated sewage helps prioritise wastewater infrastructure investment.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