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A5455"/>
          <w:sz w:val="36"/>
        </w:rPr>
        <w:t>GOAP Example Ocean Account Tables</w:t>
      </w:r>
    </w:p>
    <w:p>
      <w:pPr>
        <w:jc w:val="center"/>
      </w:pPr>
      <w:r>
        <w:rPr>
          <w:rFonts w:ascii="Arial" w:hAnsi="Arial"/>
          <w:color w:val="30302F"/>
          <w:sz w:val="22"/>
        </w:rPr>
        <w:t>Illustrative data for a hypothetical coastal ecosystem accounting area</w:t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1 -- Extent Account (ha)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Opening extent</w:t>
              <w:br/>
              <w:t>(2018)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Additions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Reductions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Net change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Closing extent</w:t>
              <w:br/>
              <w:t>(2023)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1 240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-60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1 180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 beds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860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-35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825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315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+25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340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 marine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7 585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+70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7 655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235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235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1b -- Extent Time-Series (ha)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Ecosystem type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2010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2014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2018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2023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 change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% change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1 340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1 290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1 240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1 180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-160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-11.9%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 beds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920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890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860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825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-95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-10.3%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280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295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315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340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+60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+21.4%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0.0%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2 -- Ecosystem Extent Change Matrix (ha, 2018-2023)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From \ To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Opening total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4EEE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1 140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1 240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 beds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4EEE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790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860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4EEE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315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Other marine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D4EEE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7 500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7 585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Closing total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1 180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825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340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7 655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10 000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3 -- Ecosystem Condition Account (Coral Reef)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Reference</w:t>
              <w:br/>
              <w:t>level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Opening CI</w:t>
              <w:br/>
              <w:t>(2018)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Closing CI</w:t>
              <w:br/>
              <w:t>(2023)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Change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Interpretation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Live coral cover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0.75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0.68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-0.07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Macroalgae cover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0.52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biomass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kg/ha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500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0.82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0.78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-0.04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recruit density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per m²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0.63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0.55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Reef structural relief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index 1-5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4.0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0.70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-0.05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Bleaching prevalence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% colonies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0.80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0.60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-0.20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Composite Condition Index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average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0.72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0.63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-0.09</w:t>
            </w:r>
          </w:p>
        </w:tc>
        <w:tc>
          <w:tcPr>
            <w:tcW w:type="dxa" w:w="2020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Declining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4a -- Ecosystem Services Supply (Physical Units)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45 000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28 000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91 000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Mg CO₂/yr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3 800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5 600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10 600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 shoreline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4 500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8 200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24 700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 recruits/yr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8 500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6 200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26 700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 &amp; tourism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85 000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22 000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122 000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3 200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6 800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1 500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11 500</w:t>
            </w:r>
          </w:p>
        </w:tc>
      </w:tr>
    </w:tbl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4b -- Ecosystem Services Supply (Monetary, USD/yr)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Valuation method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630 000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336 000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198 000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1 164 000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Social cost of carbon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190 000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280 000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530 000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2 400 000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540 000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1 640 000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4 580 000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 &amp; tourism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Expenditure method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4 250 000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375 000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660 000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5 285 000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19 200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40 800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9 000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69 000</w:t>
            </w:r>
          </w:p>
        </w:tc>
      </w:tr>
      <w:tr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7 359 200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1 481 800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2 787 000</w:t>
            </w:r>
          </w:p>
        </w:tc>
        <w:tc>
          <w:tcPr>
            <w:tcW w:type="dxa" w:w="235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11 628 000</w:t>
            </w:r>
          </w:p>
        </w:tc>
      </w:tr>
    </w:tbl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4c -- Ecosystem Service Physical Use (Part A): Who Benefits?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Fisheries</w:t>
              <w:br/>
              <w:t>sector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</w:t>
              <w:br/>
              <w:t>sector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180 000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2 335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2 335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5 500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15 500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7 300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7 300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2 400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17 400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18 000</w:t>
            </w:r>
          </w:p>
        </w:tc>
      </w:tr>
    </w:tbl>
    <w:p>
      <w:pPr>
        <w:spacing w:before="80" w:after="80"/>
        <w:jc w:val="left"/>
      </w:pPr>
      <w:r>
        <w:rPr>
          <w:i/>
        </w:rPr>
        <w:t>Supply is organized by ecosystem. Use is organized by beneficiary. Same quantities, different perspective.</w:t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4d -- Ecosystem Service Monetary Use (Part B): USD/yr by Beneficiary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HH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Global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210 000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210 000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119 085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119 085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880 000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495 000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1 375 000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127 750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127 750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Expenditure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1 275 000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84 000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1 359 000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Equiv. wage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63 000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63 000</w:t>
            </w:r>
          </w:p>
        </w:tc>
      </w:tr>
      <w:tr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337 750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1 275 000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1 027 000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495 000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119 085</w:t>
            </w:r>
          </w:p>
        </w:tc>
        <w:tc>
          <w:tcPr>
            <w:tcW w:type="dxa" w:w="1767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3 253 835</w:t>
            </w:r>
          </w:p>
        </w:tc>
      </w:tr>
    </w:tbl>
    <w:p>
      <w:pPr>
        <w:spacing w:before="80" w:after="80"/>
        <w:jc w:val="left"/>
      </w:pPr>
      <w:r>
        <w:rPr>
          <w:i/>
        </w:rPr>
        <w:t>Tourism sector receives the most value (39%). Coastal households receive 32% (protection + gleaning + mangrove recreation).</w:t>
      </w:r>
    </w:p>
    <w:p>
      <w:r>
        <w:br w:type="page"/>
      </w:r>
    </w:p>
    <w:p>
      <w:pPr>
        <w:spacing w:before="360" w:after="120"/>
      </w:pPr>
      <w:r>
        <w:rPr>
          <w:rFonts w:ascii="Arial" w:hAnsi="Arial"/>
          <w:b/>
          <w:color w:val="0A5455"/>
          <w:sz w:val="26"/>
        </w:rPr>
        <w:t>Table 4e -- Combined Physical Supply and Use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4712"/>
            <w:gridSpan w:val="4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SUPPLY (by ecosystem)</w:t>
            </w:r>
          </w:p>
        </w:tc>
        <w:tc>
          <w:tcPr>
            <w:tcW w:type="dxa" w:w="7068"/>
            <w:gridSpan w:val="6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2C745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USE (by beneficiary)</w:t>
            </w:r>
          </w:p>
        </w:tc>
      </w:tr>
      <w:tr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Coral reefs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3B9C7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HH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Govt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Global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3B9C7B" w:val="clear"/>
            <w:shd w:fill="2C745B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kg/yr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120,000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45,000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180,000</w:t>
            </w:r>
          </w:p>
        </w:tc>
      </w:tr>
      <w:tr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Mg CO₂/yr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1,040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2,335</w:t>
            </w:r>
          </w:p>
        </w:tc>
      </w:tr>
      <w:tr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m coastline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12,000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3,500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10,000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5,500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</w:tr>
      <w:tr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kg/yr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4,500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2,800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7,300</w:t>
            </w:r>
          </w:p>
        </w:tc>
      </w:tr>
      <w:tr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visitors/yr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17,400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15,000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2,400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17,400</w:t>
            </w:r>
          </w:p>
        </w:tc>
      </w:tr>
      <w:tr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FFFFFF"/>
                <w:sz w:val="18"/>
              </w:rPr>
            </w:r>
            <w:r>
              <w:rPr>
                <w:rFonts w:ascii="Arial" w:hAnsi="Arial"/>
                <w:b w:val="0"/>
                <w:color w:val="FFFFFF"/>
                <w:sz w:val="18"/>
              </w:rPr>
              <w:t>hours/yr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1178"/>
            <w:tcBorders>
              <w:top w:val="single" w:sz="8" w:space="0" w:color="404040"/>
              <w:left w:val="single" w:sz="8" w:space="0" w:color="404040"/>
              <w:bottom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 w:val="0"/>
                <w:color w:val="30302F"/>
                <w:sz w:val="20"/>
              </w:rPr>
            </w:r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</w:tr>
    </w:tbl>
    <w:p>
      <w:pPr>
        <w:spacing w:before="80" w:after="80"/>
        <w:jc w:val="left"/>
      </w:pPr>
      <w:r>
        <w:rPr>
          <w:i/>
        </w:rPr>
        <w:t>Accounting identity: Total supply = Total use for each service row. Supply is organised by ecosystem type; use is organised by beneficiary sector.</w:t>
      </w:r>
    </w:p>
    <w:sectPr w:rsidR="00FC693F" w:rsidRPr="0006063C" w:rsidSect="00034616">
      <w:pgSz w:w="15840" w:h="122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