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val="0"/>
          <w:color w:val="0A5455"/>
          <w:sz w:val="32"/>
        </w:rPr>
        <w:t>Worked Example: OTSA -- Illustrative Small Island Developing State</w:t>
      </w:r>
    </w:p>
    <w:p>
      <w:r>
        <w:rPr>
          <w:rFonts w:ascii="Arial" w:hAnsi="Arial"/>
          <w:b w:val="0"/>
          <w:color w:val="3B9C7B"/>
          <w:sz w:val="22"/>
        </w:rPr>
        <w:t>Ocean Tourism Satellite Account  |  Country: Illustrative SIDS  |  Year: 2023  |  Currency: USD</w:t>
      </w:r>
    </w:p>
    <w:p>
      <w:pPr>
        <w:spacing w:before="80" w:after="80"/>
      </w:pPr>
      <w:r>
        <w:rPr>
          <w:rFonts w:ascii="Arial" w:hAnsi="Arial"/>
          <w:b w:val="0"/>
          <w:color w:val="555555"/>
          <w:sz w:val="18"/>
        </w:rPr>
        <w:t>This example illustrates how to calculate coastal tourism partials when international and domestic visitors have different coastal propensities.</w:t>
      </w:r>
    </w:p>
    <w:p/>
    <w:p>
      <w:r>
        <w:rPr>
          <w:rFonts w:ascii="Arial" w:hAnsi="Arial"/>
          <w:b w:val="0"/>
          <w:color w:val="0A5455"/>
          <w:sz w:val="32"/>
        </w:rPr>
        <w:t>Step 1: Calculating the Weighted Expenditure Partial</w:t>
      </w:r>
    </w:p>
    <w:p>
      <w:pPr>
        <w:spacing w:before="160"/>
      </w:pPr>
      <w:r>
        <w:rPr>
          <w:rFonts w:ascii="Arial" w:hAnsi="Arial"/>
          <w:b/>
          <w:color w:val="0A5455"/>
          <w:sz w:val="20"/>
        </w:rPr>
        <w:t>The problem:</w:t>
      </w:r>
    </w:p>
    <w:p>
      <w:pPr>
        <w:spacing w:after="120"/>
      </w:pPr>
      <w:r>
        <w:rPr>
          <w:rFonts w:ascii="Arial" w:hAnsi="Arial"/>
          <w:b w:val="0"/>
          <w:color w:val="30302F"/>
          <w:sz w:val="20"/>
        </w:rPr>
        <w:t>International visitors have a coastal partial of 35% (from exit surveys), while domestic tourists have a partial of 20% (from household travel surveys). A simple average (27.5%) would be wrong because international visitors spend much more per trip.</w:t>
      </w:r>
    </w:p>
    <w:p>
      <w:pPr>
        <w:spacing w:before="160"/>
      </w:pPr>
      <w:r>
        <w:rPr>
          <w:rFonts w:ascii="Arial" w:hAnsi="Arial"/>
          <w:b/>
          <w:color w:val="0A5455"/>
          <w:sz w:val="20"/>
        </w:rPr>
        <w:t>The calculation:</w:t>
      </w:r>
    </w:p>
    <w:p>
      <w:pPr>
        <w:spacing w:after="120"/>
      </w:pPr>
      <w:r>
        <w:rPr>
          <w:rFonts w:ascii="Arial" w:hAnsi="Arial"/>
          <w:b w:val="0"/>
          <w:color w:val="30302F"/>
          <w:sz w:val="20"/>
        </w:rPr>
        <w:t>International visitors spend 2.5x more per trip than domestic tourists.</w:t>
        <w:br/>
        <w:br/>
        <w:t>International share of total spending:</w:t>
        <w:br/>
        <w:t xml:space="preserve">  = (500,000 x 2.5) / (500,000 x 2.5 + 2,000,000 x 1.0)</w:t>
        <w:br/>
        <w:t xml:space="preserve">  = 1,250,000 / 3,250,000 = 55.6%</w:t>
        <w:br/>
        <w:br/>
        <w:t>Domestic share of total spending:</w:t>
        <w:br/>
        <w:t xml:space="preserve">  = 2,000,000 / 3,250,000 = 44.4%</w:t>
        <w:br/>
        <w:br/>
        <w:t>Weighted expenditure partial:</w:t>
        <w:br/>
        <w:t xml:space="preserve">  = 0.556 x 0.35 + 0.444 x 0.20</w:t>
        <w:br/>
        <w:t xml:space="preserve">  = 0.195 + 0.089 = 0.283</w:t>
        <w:br/>
        <w:br/>
        <w:t>Rounded: 25.8% of all tourism expenditure is coastal (using spending weights).</w:t>
      </w:r>
    </w:p>
    <w:p/>
    <w:p>
      <w:r>
        <w:rPr>
          <w:rFonts w:ascii="Arial" w:hAnsi="Arial"/>
          <w:b w:val="0"/>
          <w:color w:val="0A5455"/>
          <w:sz w:val="32"/>
        </w:rPr>
        <w:t>Step 2: OTSA Summary Table</w:t>
      </w:r>
    </w:p>
    <w:tbl>
      <w:tblPr>
        <w:tblW w:type="auto" w:w="0"/>
        <w:jc w:val="center"/>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2828"/>
        <w:gridCol w:w="2828"/>
        <w:gridCol w:w="2828"/>
        <w:gridCol w:w="2828"/>
        <w:gridCol w:w="2828"/>
      </w:tblGrid>
      <w:tr>
        <w:tc>
          <w:tcPr>
            <w:tcW w:type="dxa" w:w="2828"/>
            <w:shd w:fill="3B9C7B"/>
          </w:tcPr>
          <w:p>
            <w:pPr>
              <w:jc w:val="center"/>
            </w:pPr>
            <w:r/>
            <w:r>
              <w:rPr>
                <w:rFonts w:ascii="Arial" w:hAnsi="Arial"/>
                <w:b/>
                <w:color w:val="FFFFFF"/>
                <w:sz w:val="20"/>
              </w:rPr>
              <w:t>Indicator</w:t>
            </w:r>
          </w:p>
        </w:tc>
        <w:tc>
          <w:tcPr>
            <w:tcW w:type="dxa" w:w="2828"/>
            <w:shd w:fill="3B9C7B"/>
          </w:tcPr>
          <w:p>
            <w:pPr>
              <w:jc w:val="center"/>
            </w:pPr>
            <w:r/>
            <w:r>
              <w:rPr>
                <w:rFonts w:ascii="Arial" w:hAnsi="Arial"/>
                <w:b/>
                <w:color w:val="FFFFFF"/>
                <w:sz w:val="20"/>
              </w:rPr>
              <w:t>Total tourism</w:t>
              <w:br/>
              <w:t>(national)</w:t>
            </w:r>
          </w:p>
        </w:tc>
        <w:tc>
          <w:tcPr>
            <w:tcW w:type="dxa" w:w="2828"/>
            <w:shd w:fill="3B9C7B"/>
          </w:tcPr>
          <w:p>
            <w:pPr>
              <w:jc w:val="center"/>
            </w:pPr>
            <w:r/>
            <w:r>
              <w:rPr>
                <w:rFonts w:ascii="Arial" w:hAnsi="Arial"/>
                <w:b/>
                <w:color w:val="FFFFFF"/>
                <w:sz w:val="20"/>
              </w:rPr>
              <w:t>Coastal</w:t>
              <w:br/>
              <w:t>partial</w:t>
            </w:r>
          </w:p>
        </w:tc>
        <w:tc>
          <w:tcPr>
            <w:tcW w:type="dxa" w:w="2828"/>
            <w:shd w:fill="3B9C7B"/>
          </w:tcPr>
          <w:p>
            <w:pPr>
              <w:jc w:val="center"/>
            </w:pPr>
            <w:r/>
            <w:r>
              <w:rPr>
                <w:rFonts w:ascii="Arial" w:hAnsi="Arial"/>
                <w:b/>
                <w:color w:val="FFFFFF"/>
                <w:sz w:val="20"/>
              </w:rPr>
              <w:t>Coastal / ocean</w:t>
              <w:br/>
              <w:t>tourism</w:t>
            </w:r>
          </w:p>
        </w:tc>
        <w:tc>
          <w:tcPr>
            <w:tcW w:type="dxa" w:w="2828"/>
            <w:shd w:fill="3B9C7B"/>
          </w:tcPr>
          <w:p>
            <w:pPr>
              <w:jc w:val="center"/>
            </w:pPr>
            <w:r/>
            <w:r>
              <w:rPr>
                <w:rFonts w:ascii="Arial" w:hAnsi="Arial"/>
                <w:b/>
                <w:color w:val="FFFFFF"/>
                <w:sz w:val="20"/>
              </w:rPr>
              <w:t>Unit</w:t>
            </w:r>
          </w:p>
        </w:tc>
      </w:tr>
      <w:tr>
        <w:tc>
          <w:tcPr>
            <w:tcW w:type="dxa" w:w="2828"/>
            <w:shd w:fill="0A5455"/>
          </w:tcPr>
          <w:p>
            <w:pPr>
              <w:spacing w:before="60" w:after="60"/>
            </w:pPr>
            <w:r/>
            <w:r>
              <w:rPr>
                <w:rFonts w:ascii="Arial" w:hAnsi="Arial"/>
                <w:b/>
                <w:color w:val="FFFFFF"/>
                <w:sz w:val="20"/>
              </w:rPr>
              <w:t>International arrivals</w:t>
            </w:r>
          </w:p>
        </w:tc>
        <w:tc>
          <w:tcPr>
            <w:tcW w:type="dxa" w:w="2828"/>
          </w:tcPr>
          <w:p>
            <w:pPr>
              <w:spacing w:before="60" w:after="60"/>
              <w:jc w:val="center"/>
            </w:pPr>
            <w:r/>
            <w:r>
              <w:rPr>
                <w:rFonts w:ascii="Arial" w:hAnsi="Arial"/>
                <w:b w:val="0"/>
                <w:color w:val="30302F"/>
                <w:sz w:val="20"/>
              </w:rPr>
              <w:t>500,000</w:t>
            </w:r>
          </w:p>
        </w:tc>
        <w:tc>
          <w:tcPr>
            <w:tcW w:type="dxa" w:w="2828"/>
          </w:tcPr>
          <w:p>
            <w:pPr>
              <w:spacing w:before="60" w:after="60"/>
              <w:jc w:val="center"/>
            </w:pPr>
            <w:r/>
            <w:r>
              <w:rPr>
                <w:rFonts w:ascii="Arial" w:hAnsi="Arial"/>
                <w:b w:val="0"/>
                <w:color w:val="30302F"/>
                <w:sz w:val="20"/>
              </w:rPr>
              <w:t>0.35</w:t>
            </w:r>
          </w:p>
        </w:tc>
        <w:tc>
          <w:tcPr>
            <w:tcW w:type="dxa" w:w="2828"/>
          </w:tcPr>
          <w:p>
            <w:pPr>
              <w:spacing w:before="60" w:after="60"/>
              <w:jc w:val="center"/>
            </w:pPr>
            <w:r/>
            <w:r>
              <w:rPr>
                <w:rFonts w:ascii="Arial" w:hAnsi="Arial"/>
                <w:b w:val="0"/>
                <w:color w:val="30302F"/>
                <w:sz w:val="20"/>
              </w:rPr>
              <w:t>175,000</w:t>
            </w:r>
          </w:p>
        </w:tc>
        <w:tc>
          <w:tcPr>
            <w:tcW w:type="dxa" w:w="2828"/>
          </w:tcPr>
          <w:p>
            <w:pPr>
              <w:spacing w:before="60" w:after="60"/>
              <w:jc w:val="center"/>
            </w:pPr>
            <w:r/>
            <w:r>
              <w:rPr>
                <w:rFonts w:ascii="Arial" w:hAnsi="Arial"/>
                <w:b w:val="0"/>
                <w:color w:val="30302F"/>
                <w:sz w:val="20"/>
              </w:rPr>
              <w:t>persons/yr</w:t>
            </w:r>
          </w:p>
        </w:tc>
      </w:tr>
      <w:tr>
        <w:tc>
          <w:tcPr>
            <w:tcW w:type="dxa" w:w="2828"/>
            <w:shd w:fill="0A5455"/>
          </w:tcPr>
          <w:p>
            <w:pPr>
              <w:spacing w:before="60" w:after="60"/>
            </w:pPr>
            <w:r/>
            <w:r>
              <w:rPr>
                <w:rFonts w:ascii="Arial" w:hAnsi="Arial"/>
                <w:b/>
                <w:color w:val="FFFFFF"/>
                <w:sz w:val="20"/>
              </w:rPr>
              <w:t>Domestic trips</w:t>
            </w:r>
          </w:p>
        </w:tc>
        <w:tc>
          <w:tcPr>
            <w:tcW w:type="dxa" w:w="2828"/>
          </w:tcPr>
          <w:p>
            <w:pPr>
              <w:spacing w:before="60" w:after="60"/>
              <w:jc w:val="center"/>
            </w:pPr>
            <w:r/>
            <w:r>
              <w:rPr>
                <w:rFonts w:ascii="Arial" w:hAnsi="Arial"/>
                <w:b w:val="0"/>
                <w:color w:val="30302F"/>
                <w:sz w:val="20"/>
              </w:rPr>
              <w:t>2,000,000</w:t>
            </w:r>
          </w:p>
        </w:tc>
        <w:tc>
          <w:tcPr>
            <w:tcW w:type="dxa" w:w="2828"/>
          </w:tcPr>
          <w:p>
            <w:pPr>
              <w:spacing w:before="60" w:after="60"/>
              <w:jc w:val="center"/>
            </w:pPr>
            <w:r/>
            <w:r>
              <w:rPr>
                <w:rFonts w:ascii="Arial" w:hAnsi="Arial"/>
                <w:b w:val="0"/>
                <w:color w:val="30302F"/>
                <w:sz w:val="20"/>
              </w:rPr>
              <w:t>0.20</w:t>
            </w:r>
          </w:p>
        </w:tc>
        <w:tc>
          <w:tcPr>
            <w:tcW w:type="dxa" w:w="2828"/>
          </w:tcPr>
          <w:p>
            <w:pPr>
              <w:spacing w:before="60" w:after="60"/>
              <w:jc w:val="center"/>
            </w:pPr>
            <w:r/>
            <w:r>
              <w:rPr>
                <w:rFonts w:ascii="Arial" w:hAnsi="Arial"/>
                <w:b w:val="0"/>
                <w:color w:val="30302F"/>
                <w:sz w:val="20"/>
              </w:rPr>
              <w:t>400,000</w:t>
            </w:r>
          </w:p>
        </w:tc>
        <w:tc>
          <w:tcPr>
            <w:tcW w:type="dxa" w:w="2828"/>
          </w:tcPr>
          <w:p>
            <w:pPr>
              <w:spacing w:before="60" w:after="60"/>
              <w:jc w:val="center"/>
            </w:pPr>
            <w:r/>
            <w:r>
              <w:rPr>
                <w:rFonts w:ascii="Arial" w:hAnsi="Arial"/>
                <w:b w:val="0"/>
                <w:color w:val="30302F"/>
                <w:sz w:val="20"/>
              </w:rPr>
              <w:t>trips/yr</w:t>
            </w:r>
          </w:p>
        </w:tc>
      </w:tr>
      <w:tr>
        <w:tc>
          <w:tcPr>
            <w:tcW w:type="dxa" w:w="2828"/>
            <w:shd w:fill="0A5455"/>
          </w:tcPr>
          <w:p>
            <w:pPr>
              <w:spacing w:before="60" w:after="60"/>
            </w:pPr>
            <w:r/>
            <w:r>
              <w:rPr>
                <w:rFonts w:ascii="Arial" w:hAnsi="Arial"/>
                <w:b/>
                <w:color w:val="FFFFFF"/>
                <w:sz w:val="20"/>
              </w:rPr>
              <w:t>Tourism expenditure</w:t>
            </w:r>
          </w:p>
        </w:tc>
        <w:tc>
          <w:tcPr>
            <w:tcW w:type="dxa" w:w="2828"/>
          </w:tcPr>
          <w:p>
            <w:pPr>
              <w:spacing w:before="60" w:after="60"/>
              <w:jc w:val="center"/>
            </w:pPr>
            <w:r/>
            <w:r>
              <w:rPr>
                <w:rFonts w:ascii="Arial" w:hAnsi="Arial"/>
                <w:b w:val="0"/>
                <w:color w:val="30302F"/>
                <w:sz w:val="20"/>
              </w:rPr>
              <w:t>800</w:t>
            </w:r>
          </w:p>
        </w:tc>
        <w:tc>
          <w:tcPr>
            <w:tcW w:type="dxa" w:w="2828"/>
          </w:tcPr>
          <w:p>
            <w:pPr>
              <w:spacing w:before="60" w:after="60"/>
              <w:jc w:val="center"/>
            </w:pPr>
            <w:r/>
            <w:r>
              <w:rPr>
                <w:rFonts w:ascii="Arial" w:hAnsi="Arial"/>
                <w:b w:val="0"/>
                <w:color w:val="30302F"/>
                <w:sz w:val="20"/>
              </w:rPr>
              <w:t>0.258</w:t>
            </w:r>
          </w:p>
        </w:tc>
        <w:tc>
          <w:tcPr>
            <w:tcW w:type="dxa" w:w="2828"/>
          </w:tcPr>
          <w:p>
            <w:pPr>
              <w:spacing w:before="60" w:after="60"/>
              <w:jc w:val="center"/>
            </w:pPr>
            <w:r/>
            <w:r>
              <w:rPr>
                <w:rFonts w:ascii="Arial" w:hAnsi="Arial"/>
                <w:b w:val="0"/>
                <w:color w:val="30302F"/>
                <w:sz w:val="20"/>
              </w:rPr>
              <w:t>206</w:t>
            </w:r>
          </w:p>
        </w:tc>
        <w:tc>
          <w:tcPr>
            <w:tcW w:type="dxa" w:w="2828"/>
          </w:tcPr>
          <w:p>
            <w:pPr>
              <w:spacing w:before="60" w:after="60"/>
              <w:jc w:val="center"/>
            </w:pPr>
            <w:r/>
            <w:r>
              <w:rPr>
                <w:rFonts w:ascii="Arial" w:hAnsi="Arial"/>
                <w:b w:val="0"/>
                <w:color w:val="30302F"/>
                <w:sz w:val="20"/>
              </w:rPr>
              <w:t>USD million</w:t>
            </w:r>
          </w:p>
        </w:tc>
      </w:tr>
      <w:tr>
        <w:tc>
          <w:tcPr>
            <w:tcW w:type="dxa" w:w="2828"/>
            <w:shd w:fill="0A5455"/>
          </w:tcPr>
          <w:p>
            <w:pPr>
              <w:spacing w:before="60" w:after="60"/>
            </w:pPr>
            <w:r/>
            <w:r>
              <w:rPr>
                <w:rFonts w:ascii="Arial" w:hAnsi="Arial"/>
                <w:b/>
                <w:color w:val="FFFFFF"/>
                <w:sz w:val="20"/>
              </w:rPr>
              <w:t>Tourism direct GVA</w:t>
            </w:r>
          </w:p>
        </w:tc>
        <w:tc>
          <w:tcPr>
            <w:tcW w:type="dxa" w:w="2828"/>
          </w:tcPr>
          <w:p>
            <w:pPr>
              <w:spacing w:before="60" w:after="60"/>
              <w:jc w:val="center"/>
            </w:pPr>
            <w:r/>
            <w:r>
              <w:rPr>
                <w:rFonts w:ascii="Arial" w:hAnsi="Arial"/>
                <w:b w:val="0"/>
                <w:color w:val="30302F"/>
                <w:sz w:val="20"/>
              </w:rPr>
              <w:t>320</w:t>
            </w:r>
          </w:p>
        </w:tc>
        <w:tc>
          <w:tcPr>
            <w:tcW w:type="dxa" w:w="2828"/>
          </w:tcPr>
          <w:p>
            <w:pPr>
              <w:spacing w:before="60" w:after="60"/>
              <w:jc w:val="center"/>
            </w:pPr>
            <w:r/>
            <w:r>
              <w:rPr>
                <w:rFonts w:ascii="Arial" w:hAnsi="Arial"/>
                <w:b w:val="0"/>
                <w:color w:val="30302F"/>
                <w:sz w:val="20"/>
              </w:rPr>
              <w:t>0.258</w:t>
            </w:r>
          </w:p>
        </w:tc>
        <w:tc>
          <w:tcPr>
            <w:tcW w:type="dxa" w:w="2828"/>
          </w:tcPr>
          <w:p>
            <w:pPr>
              <w:spacing w:before="60" w:after="60"/>
              <w:jc w:val="center"/>
            </w:pPr>
            <w:r/>
            <w:r>
              <w:rPr>
                <w:rFonts w:ascii="Arial" w:hAnsi="Arial"/>
                <w:b w:val="0"/>
                <w:color w:val="30302F"/>
                <w:sz w:val="20"/>
              </w:rPr>
              <w:t>82.5</w:t>
            </w:r>
          </w:p>
        </w:tc>
        <w:tc>
          <w:tcPr>
            <w:tcW w:type="dxa" w:w="2828"/>
          </w:tcPr>
          <w:p>
            <w:pPr>
              <w:spacing w:before="60" w:after="60"/>
              <w:jc w:val="center"/>
            </w:pPr>
            <w:r/>
            <w:r>
              <w:rPr>
                <w:rFonts w:ascii="Arial" w:hAnsi="Arial"/>
                <w:b w:val="0"/>
                <w:color w:val="30302F"/>
                <w:sz w:val="20"/>
              </w:rPr>
              <w:t>USD million</w:t>
            </w:r>
          </w:p>
        </w:tc>
      </w:tr>
      <w:tr>
        <w:tc>
          <w:tcPr>
            <w:tcW w:type="dxa" w:w="2828"/>
            <w:shd w:fill="0A5455"/>
          </w:tcPr>
          <w:p>
            <w:pPr>
              <w:spacing w:before="60" w:after="60"/>
            </w:pPr>
            <w:r/>
            <w:r>
              <w:rPr>
                <w:rFonts w:ascii="Arial" w:hAnsi="Arial"/>
                <w:b/>
                <w:color w:val="FFFFFF"/>
                <w:sz w:val="20"/>
              </w:rPr>
              <w:t>Tourism employment</w:t>
            </w:r>
          </w:p>
        </w:tc>
        <w:tc>
          <w:tcPr>
            <w:tcW w:type="dxa" w:w="2828"/>
          </w:tcPr>
          <w:p>
            <w:pPr>
              <w:spacing w:before="60" w:after="60"/>
              <w:jc w:val="center"/>
            </w:pPr>
            <w:r/>
            <w:r>
              <w:rPr>
                <w:rFonts w:ascii="Arial" w:hAnsi="Arial"/>
                <w:b w:val="0"/>
                <w:color w:val="30302F"/>
                <w:sz w:val="20"/>
              </w:rPr>
              <w:t>45,000</w:t>
            </w:r>
          </w:p>
        </w:tc>
        <w:tc>
          <w:tcPr>
            <w:tcW w:type="dxa" w:w="2828"/>
          </w:tcPr>
          <w:p>
            <w:pPr>
              <w:spacing w:before="60" w:after="60"/>
              <w:jc w:val="center"/>
            </w:pPr>
            <w:r/>
            <w:r>
              <w:rPr>
                <w:rFonts w:ascii="Arial" w:hAnsi="Arial"/>
                <w:b w:val="0"/>
                <w:color w:val="30302F"/>
                <w:sz w:val="20"/>
              </w:rPr>
              <w:t>0.258</w:t>
            </w:r>
          </w:p>
        </w:tc>
        <w:tc>
          <w:tcPr>
            <w:tcW w:type="dxa" w:w="2828"/>
          </w:tcPr>
          <w:p>
            <w:pPr>
              <w:spacing w:before="60" w:after="60"/>
              <w:jc w:val="center"/>
            </w:pPr>
            <w:r/>
            <w:r>
              <w:rPr>
                <w:rFonts w:ascii="Arial" w:hAnsi="Arial"/>
                <w:b w:val="0"/>
                <w:color w:val="30302F"/>
                <w:sz w:val="20"/>
              </w:rPr>
              <w:t>11,610</w:t>
            </w:r>
          </w:p>
        </w:tc>
        <w:tc>
          <w:tcPr>
            <w:tcW w:type="dxa" w:w="2828"/>
          </w:tcPr>
          <w:p>
            <w:pPr>
              <w:spacing w:before="60" w:after="60"/>
              <w:jc w:val="center"/>
            </w:pPr>
            <w:r/>
            <w:r>
              <w:rPr>
                <w:rFonts w:ascii="Arial" w:hAnsi="Arial"/>
                <w:b w:val="0"/>
                <w:color w:val="30302F"/>
                <w:sz w:val="20"/>
              </w:rPr>
              <w:t>persons</w:t>
            </w:r>
          </w:p>
        </w:tc>
      </w:tr>
      <w:tr>
        <w:tc>
          <w:tcPr>
            <w:tcW w:type="dxa" w:w="2828"/>
            <w:shd w:fill="0A5455"/>
          </w:tcPr>
          <w:p>
            <w:pPr>
              <w:spacing w:before="60" w:after="60"/>
            </w:pPr>
            <w:r/>
            <w:r>
              <w:rPr>
                <w:rFonts w:ascii="Arial" w:hAnsi="Arial"/>
                <w:b/>
                <w:color w:val="FFFFFF"/>
                <w:sz w:val="20"/>
              </w:rPr>
              <w:t>National GDP</w:t>
            </w:r>
          </w:p>
        </w:tc>
        <w:tc>
          <w:tcPr>
            <w:tcW w:type="dxa" w:w="2828"/>
          </w:tcPr>
          <w:p>
            <w:pPr>
              <w:spacing w:before="60" w:after="60"/>
              <w:jc w:val="center"/>
            </w:pPr>
            <w:r/>
            <w:r>
              <w:rPr>
                <w:rFonts w:ascii="Arial" w:hAnsi="Arial"/>
                <w:b w:val="0"/>
                <w:color w:val="30302F"/>
                <w:sz w:val="20"/>
              </w:rPr>
              <w:t>5,000</w:t>
            </w:r>
          </w:p>
        </w:tc>
        <w:tc>
          <w:tcPr>
            <w:tcW w:type="dxa" w:w="2828"/>
          </w:tcPr>
          <w:p>
            <w:pPr>
              <w:spacing w:before="60" w:after="60"/>
              <w:jc w:val="center"/>
            </w:pPr>
            <w:r/>
            <w:r>
              <w:rPr>
                <w:rFonts w:ascii="Arial" w:hAnsi="Arial"/>
                <w:b w:val="0"/>
                <w:color w:val="30302F"/>
                <w:sz w:val="20"/>
              </w:rPr>
              <w:t>--</w:t>
            </w:r>
          </w:p>
        </w:tc>
        <w:tc>
          <w:tcPr>
            <w:tcW w:type="dxa" w:w="2828"/>
          </w:tcPr>
          <w:p>
            <w:pPr>
              <w:spacing w:before="60" w:after="60"/>
              <w:jc w:val="center"/>
            </w:pPr>
            <w:r/>
            <w:r>
              <w:rPr>
                <w:rFonts w:ascii="Arial" w:hAnsi="Arial"/>
                <w:b w:val="0"/>
                <w:color w:val="30302F"/>
                <w:sz w:val="20"/>
              </w:rPr>
              <w:t>--</w:t>
            </w:r>
          </w:p>
        </w:tc>
        <w:tc>
          <w:tcPr>
            <w:tcW w:type="dxa" w:w="2828"/>
          </w:tcPr>
          <w:p>
            <w:pPr>
              <w:spacing w:before="60" w:after="60"/>
              <w:jc w:val="center"/>
            </w:pPr>
            <w:r/>
            <w:r>
              <w:rPr>
                <w:rFonts w:ascii="Arial" w:hAnsi="Arial"/>
                <w:b w:val="0"/>
                <w:color w:val="30302F"/>
                <w:sz w:val="20"/>
              </w:rPr>
              <w:t>USD million</w:t>
            </w:r>
          </w:p>
        </w:tc>
      </w:tr>
      <w:tr>
        <w:tc>
          <w:tcPr>
            <w:tcW w:type="dxa" w:w="2828"/>
            <w:shd w:fill="0A5455"/>
          </w:tcPr>
          <w:p>
            <w:pPr>
              <w:spacing w:before="60" w:after="60"/>
            </w:pPr>
            <w:r/>
            <w:r>
              <w:rPr>
                <w:rFonts w:ascii="Arial" w:hAnsi="Arial"/>
                <w:b/>
                <w:color w:val="FFFFFF"/>
                <w:sz w:val="20"/>
              </w:rPr>
              <w:t>Coastal tourism % of GDP</w:t>
            </w:r>
          </w:p>
        </w:tc>
        <w:tc>
          <w:tcPr>
            <w:tcW w:type="dxa" w:w="2828"/>
          </w:tcPr>
          <w:p>
            <w:pPr>
              <w:spacing w:before="60" w:after="60"/>
              <w:jc w:val="center"/>
            </w:pPr>
            <w:r/>
            <w:r>
              <w:rPr>
                <w:rFonts w:ascii="Arial" w:hAnsi="Arial"/>
                <w:b w:val="0"/>
                <w:color w:val="30302F"/>
                <w:sz w:val="20"/>
              </w:rPr>
              <w:t>--</w:t>
            </w:r>
          </w:p>
        </w:tc>
        <w:tc>
          <w:tcPr>
            <w:tcW w:type="dxa" w:w="2828"/>
          </w:tcPr>
          <w:p>
            <w:pPr>
              <w:spacing w:before="60" w:after="60"/>
              <w:jc w:val="center"/>
            </w:pPr>
            <w:r/>
            <w:r>
              <w:rPr>
                <w:rFonts w:ascii="Arial" w:hAnsi="Arial"/>
                <w:b w:val="0"/>
                <w:color w:val="30302F"/>
                <w:sz w:val="20"/>
              </w:rPr>
              <w:t>--</w:t>
            </w:r>
          </w:p>
        </w:tc>
        <w:tc>
          <w:tcPr>
            <w:tcW w:type="dxa" w:w="2828"/>
          </w:tcPr>
          <w:p>
            <w:pPr>
              <w:spacing w:before="60" w:after="60"/>
              <w:jc w:val="center"/>
            </w:pPr>
            <w:r/>
            <w:r>
              <w:rPr>
                <w:rFonts w:ascii="Arial" w:hAnsi="Arial"/>
                <w:b w:val="0"/>
                <w:color w:val="30302F"/>
                <w:sz w:val="20"/>
              </w:rPr>
              <w:t>1.65</w:t>
            </w:r>
          </w:p>
        </w:tc>
        <w:tc>
          <w:tcPr>
            <w:tcW w:type="dxa" w:w="2828"/>
          </w:tcPr>
          <w:p>
            <w:pPr>
              <w:spacing w:before="60" w:after="60"/>
              <w:jc w:val="center"/>
            </w:pPr>
            <w:r/>
            <w:r>
              <w:rPr>
                <w:rFonts w:ascii="Arial" w:hAnsi="Arial"/>
                <w:b w:val="0"/>
                <w:color w:val="30302F"/>
                <w:sz w:val="20"/>
              </w:rPr>
              <w:t>%</w:t>
            </w:r>
          </w:p>
        </w:tc>
      </w:tr>
    </w:tbl>
    <w:p>
      <w:pPr>
        <w:spacing w:before="160"/>
      </w:pPr>
      <w:r>
        <w:rPr>
          <w:rFonts w:ascii="Arial" w:hAnsi="Arial"/>
          <w:b/>
          <w:color w:val="0A5455"/>
          <w:sz w:val="20"/>
        </w:rPr>
        <w:t>Interpretation:</w:t>
      </w:r>
    </w:p>
    <w:p>
      <w:pPr>
        <w:spacing w:after="120"/>
      </w:pPr>
      <w:r>
        <w:rPr>
          <w:rFonts w:ascii="Arial" w:hAnsi="Arial"/>
          <w:b w:val="0"/>
          <w:color w:val="30302F"/>
          <w:sz w:val="20"/>
        </w:rPr>
        <w:t>Coastal and ocean tourism accounts for USD 82.5 million in GVA (1.65% of GDP) and 11,610 jobs. The weighted partial (25.8%) is closer to the international partial (35%) than the domestic partial (20%) because international visitors account for a disproportionate share of spending. This method avoids double-counting by applying the partial to expenditure rather than visitor numbers.</w:t>
      </w:r>
    </w:p>
    <w:p>
      <w:pPr>
        <w:spacing w:before="160"/>
      </w:pPr>
      <w:r>
        <w:rPr>
          <w:rFonts w:ascii="Arial" w:hAnsi="Arial"/>
          <w:b/>
          <w:color w:val="0A5455"/>
          <w:sz w:val="20"/>
        </w:rPr>
        <w:t>Sensitivity check:</w:t>
      </w:r>
    </w:p>
    <w:p>
      <w:pPr>
        <w:spacing w:after="120"/>
      </w:pPr>
      <w:r>
        <w:rPr>
          <w:rFonts w:ascii="Arial" w:hAnsi="Arial"/>
          <w:b w:val="0"/>
          <w:color w:val="30302F"/>
          <w:sz w:val="20"/>
        </w:rPr>
        <w:t>If the simple average partial (27.5%) had been used instead, coastal tourism GVA would have been USD 88 million -- an overestimate of 6.7%. For countries where international and domestic spending patterns are similar, the difference is smaller. For countries highly dependent on international tourism (e.g., Maldives, Seychelles), the weighted partial may be significantly different from the simple average.</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