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Extent Account -- Blank Tables</w:t>
      </w:r>
    </w:p>
    <w:p>
      <w:r>
        <w:rPr>
          <w:rFonts w:ascii="Arial" w:hAnsi="Arial"/>
          <w:b w:val="0"/>
          <w:color w:val="3B9C7B"/>
          <w:sz w:val="20"/>
        </w:rPr>
        <w:t>Fill in with your country's data</w:t>
      </w:r>
    </w:p>
    <w:p/>
    <w:p>
      <w:pPr>
        <w:keepNext w:val="true"/>
      </w:pPr>
      <w:r>
        <w:rPr>
          <w:rFonts w:ascii="Arial" w:hAnsi="Arial"/>
          <w:b w:val="0"/>
          <w:color w:val="0A5455"/>
          <w:sz w:val="20"/>
        </w:rPr>
        <w:t>Table 1: Ecosystem Extent Account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Accounting area: ____________  |  Opening year: ______  |  Closing year: 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364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145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  <w:br/>
              <w:t>(name, code)</w:t>
            </w:r>
          </w:p>
        </w:tc>
        <w:tc>
          <w:tcPr>
            <w:tcW w:type="dxa" w:w="145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  <w:br/>
              <w:t>(name, code)</w:t>
            </w:r>
          </w:p>
        </w:tc>
        <w:tc>
          <w:tcPr>
            <w:tcW w:type="dxa" w:w="145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  <w:br/>
              <w:t>(name, code)</w:t>
            </w:r>
          </w:p>
        </w:tc>
        <w:tc>
          <w:tcPr>
            <w:tcW w:type="dxa" w:w="814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814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extent (ha)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natural expansion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managed restoration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reclassification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additions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natural reduction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managed conversion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reclassification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reductions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Net change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64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extent (ha)</w:t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5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14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  <w:keepNext w:val="true"/>
      </w:pPr>
      <w:r>
        <w:rPr>
          <w:rFonts w:ascii="Arial" w:hAnsi="Arial"/>
          <w:b w:val="0"/>
          <w:color w:val="717171"/>
          <w:sz w:val="20"/>
        </w:rPr>
        <w:t>Total accounting area must be the same for opening and closing. Net change across all types sums to zero.</w:t>
      </w:r>
    </w:p>
    <w:p>
      <w:r>
        <w:br w:type="page"/>
      </w:r>
    </w:p>
    <w:p>
      <w:pPr>
        <w:keepNext/>
      </w:pPr>
      <w:r>
        <w:rPr>
          <w:rFonts w:ascii="Arial" w:hAnsi="Arial"/>
          <w:b w:val="0"/>
          <w:color w:val="0A5455"/>
          <w:sz w:val="20"/>
        </w:rPr>
        <w:t>Table 1b: Extent Time Series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cantSplit w:val="true"/>
        </w:trPr>
        <w:tc>
          <w:tcPr>
            <w:tcW w:type="dxa" w:w="168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132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1 (ha)</w:t>
            </w:r>
          </w:p>
        </w:tc>
        <w:tc>
          <w:tcPr>
            <w:tcW w:type="dxa" w:w="132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2 (ha)</w:t>
            </w:r>
          </w:p>
        </w:tc>
        <w:tc>
          <w:tcPr>
            <w:tcW w:type="dxa" w:w="132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3 (ha)</w:t>
            </w:r>
          </w:p>
        </w:tc>
        <w:tc>
          <w:tcPr>
            <w:tcW w:type="dxa" w:w="132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4 (ha)</w:t>
            </w:r>
          </w:p>
        </w:tc>
        <w:tc>
          <w:tcPr>
            <w:tcW w:type="dxa" w:w="144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change</w:t>
            </w:r>
          </w:p>
        </w:tc>
        <w:tc>
          <w:tcPr>
            <w:tcW w:type="dxa" w:w="120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 (%)</w:t>
            </w:r>
          </w:p>
        </w:tc>
      </w:tr>
      <w:tr>
        <w:trPr>
          <w:cantSplit w:val="true"/>
        </w:trPr>
        <w:tc>
          <w:tcPr>
            <w:tcW w:type="dxa" w:w="1687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0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687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05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6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0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6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0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168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32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205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2: Change Matrix (hectares)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3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\ Closing</w:t>
            </w:r>
          </w:p>
        </w:tc>
        <w:tc>
          <w:tcPr>
            <w:tcW w:type="dxa" w:w="153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153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153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83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181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total</w:t>
            </w:r>
          </w:p>
        </w:tc>
      </w:tr>
      <w:tr>
        <w:trPr>
          <w:cantSplit w:val="true"/>
        </w:trPr>
        <w:tc>
          <w:tcPr>
            <w:tcW w:type="dxa" w:w="2375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375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8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816"/>
            <w:shd w:fill="FFF2CC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375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375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375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total</w:t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53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83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816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Diagonal = stable area. Off-diagonal = transitions. Row totals = opening extent. Column totals = closing extent.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