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Ocean Economy Satellite Account -- Blank Tables</w:t>
      </w:r>
    </w:p>
    <w:p>
      <w:r>
        <w:rPr>
          <w:rFonts w:ascii="Arial" w:hAnsi="Arial"/>
          <w:b w:val="0"/>
          <w:color w:val="3B9C7B"/>
          <w:sz w:val="20"/>
        </w:rPr>
        <w:t>SNA-based: reorganize national accounts to identify the ocean economy</w:t>
      </w:r>
    </w:p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Country: ____________  |  Year: ______  |  Currency: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5: Scope and Ocean Partials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9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229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industry</w:t>
            </w:r>
          </w:p>
        </w:tc>
        <w:tc>
          <w:tcPr>
            <w:tcW w:type="dxa" w:w="121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ISIC code</w:t>
            </w:r>
          </w:p>
        </w:tc>
        <w:tc>
          <w:tcPr>
            <w:tcW w:type="dxa" w:w="94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</w:r>
          </w:p>
        </w:tc>
        <w:tc>
          <w:tcPr>
            <w:tcW w:type="dxa" w:w="84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5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Confidence</w:t>
              <w:br/>
              <w:t>(RAG)</w:t>
            </w:r>
          </w:p>
        </w:tc>
      </w:tr>
      <w:tr>
        <w:trPr>
          <w:cantSplit w:val="true"/>
        </w:trPr>
        <w:tc>
          <w:tcPr>
            <w:tcW w:type="dxa" w:w="2975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229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4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4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5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975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229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4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47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5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975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229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5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975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229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5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975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229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5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975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229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4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5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Partial = share of industry output that is ocean-related (0 to 1). RAG: Green = direct evidence, Amber = proxy, Red = sparse.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6: Ocean Economy Output, Intermediate Consumption, and GVA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cantSplit w:val="true"/>
        </w:trPr>
        <w:tc>
          <w:tcPr>
            <w:tcW w:type="dxa" w:w="287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104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output</w:t>
            </w:r>
          </w:p>
        </w:tc>
        <w:tc>
          <w:tcPr>
            <w:tcW w:type="dxa" w:w="914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</w:r>
          </w:p>
        </w:tc>
        <w:tc>
          <w:tcPr>
            <w:tcW w:type="dxa" w:w="81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output</w:t>
            </w:r>
          </w:p>
        </w:tc>
        <w:tc>
          <w:tcPr>
            <w:tcW w:type="dxa" w:w="104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IC</w:t>
            </w:r>
          </w:p>
        </w:tc>
        <w:tc>
          <w:tcPr>
            <w:tcW w:type="dxa" w:w="81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IC</w:t>
            </w:r>
          </w:p>
        </w:tc>
        <w:tc>
          <w:tcPr>
            <w:tcW w:type="dxa" w:w="81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GVA</w:t>
            </w:r>
          </w:p>
        </w:tc>
        <w:tc>
          <w:tcPr>
            <w:tcW w:type="dxa" w:w="130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Employment</w:t>
            </w:r>
          </w:p>
        </w:tc>
      </w:tr>
      <w:tr>
        <w:trPr>
          <w:cantSplit w:val="true"/>
        </w:trPr>
        <w:tc>
          <w:tcPr>
            <w:tcW w:type="dxa" w:w="2873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1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873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1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87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87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87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87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87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Ocean output = National output x Partial. Ocean IC = National IC x Partial. GVA = Output - IC.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7: OESA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4713"/>
        <w:gridCol w:w="4713"/>
        <w:gridCol w:w="4713"/>
      </w:tblGrid>
      <w:tr>
        <w:trPr>
          <w:cantSplit w:val="true"/>
        </w:trPr>
        <w:tc>
          <w:tcPr>
            <w:tcW w:type="dxa" w:w="542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88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2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5428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economy GVA</w:t>
            </w:r>
          </w:p>
        </w:tc>
        <w:tc>
          <w:tcPr>
            <w:tcW w:type="dxa" w:w="188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26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5428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188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26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54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% of GDP</w:t>
            </w:r>
          </w:p>
        </w:tc>
        <w:tc>
          <w:tcPr>
            <w:tcW w:type="dxa" w:w="188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26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  <w:tr>
        <w:trPr>
          <w:cantSplit w:val="true"/>
        </w:trPr>
        <w:tc>
          <w:tcPr>
            <w:tcW w:type="dxa" w:w="54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employment</w:t>
            </w:r>
          </w:p>
        </w:tc>
        <w:tc>
          <w:tcPr>
            <w:tcW w:type="dxa" w:w="188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26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