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 w:val="0"/>
          <w:color w:val="0077B6"/>
          <w:sz w:val="36"/>
        </w:rPr>
        <w:t>STATION 1</w:t>
      </w:r>
    </w:p>
    <w:p>
      <w:pPr>
        <w:jc w:val="center"/>
      </w:pPr>
      <w:r>
        <w:rPr>
          <w:rFonts w:ascii="Arial" w:hAnsi="Arial"/>
          <w:b/>
          <w:color w:val="0077B6"/>
          <w:sz w:val="88"/>
        </w:rPr>
        <w:t>Marine Spatial Planning &amp; MPAs</w:t>
      </w:r>
    </w:p>
    <w:p>
      <w:pPr>
        <w:jc w:val="center"/>
      </w:pPr>
      <w:r>
        <w:rPr>
          <w:rFonts w:ascii="Arial" w:hAnsi="Arial"/>
          <w:b w:val="0"/>
          <w:color w:val="30302F"/>
          <w:sz w:val="28"/>
        </w:rPr>
        <w:t>Zoning, cumulative impact assessment, protected area management, spatial data</w:t>
      </w:r>
    </w:p>
    <w:p>
      <w:r>
        <w:br w:type="page"/>
      </w:r>
    </w:p>
    <w:p/>
    <w:p/>
    <w:p/>
    <w:p>
      <w:pPr>
        <w:jc w:val="center"/>
      </w:pPr>
      <w:r>
        <w:rPr>
          <w:rFonts w:ascii="Arial" w:hAnsi="Arial"/>
          <w:b w:val="0"/>
          <w:color w:val="2D6A4F"/>
          <w:sz w:val="36"/>
        </w:rPr>
        <w:t>STATION 2</w:t>
      </w:r>
    </w:p>
    <w:p>
      <w:pPr>
        <w:jc w:val="center"/>
      </w:pPr>
      <w:r>
        <w:rPr>
          <w:rFonts w:ascii="Arial" w:hAnsi="Arial"/>
          <w:b/>
          <w:color w:val="2D6A4F"/>
          <w:sz w:val="88"/>
        </w:rPr>
        <w:t>Blue Carbon &amp; Climate</w:t>
      </w:r>
    </w:p>
    <w:p>
      <w:pPr>
        <w:jc w:val="center"/>
      </w:pPr>
      <w:r>
        <w:rPr>
          <w:rFonts w:ascii="Arial" w:hAnsi="Arial"/>
          <w:b w:val="0"/>
          <w:color w:val="30302F"/>
          <w:sz w:val="28"/>
        </w:rPr>
        <w:t>Mangroves, seagrass, carbon sequestration, NDCs, climate finance, NbS</w:t>
      </w:r>
    </w:p>
    <w:p>
      <w:r>
        <w:br w:type="page"/>
      </w:r>
    </w:p>
    <w:p/>
    <w:p/>
    <w:p/>
    <w:p>
      <w:pPr>
        <w:jc w:val="center"/>
      </w:pPr>
      <w:r>
        <w:rPr>
          <w:rFonts w:ascii="Arial" w:hAnsi="Arial"/>
          <w:b w:val="0"/>
          <w:color w:val="E76F51"/>
          <w:sz w:val="36"/>
        </w:rPr>
        <w:t>STATION 3</w:t>
      </w:r>
    </w:p>
    <w:p>
      <w:pPr>
        <w:jc w:val="center"/>
      </w:pPr>
      <w:r>
        <w:rPr>
          <w:rFonts w:ascii="Arial" w:hAnsi="Arial"/>
          <w:b/>
          <w:color w:val="E76F51"/>
          <w:sz w:val="88"/>
        </w:rPr>
        <w:t>Fisheries &amp; Ocean Economy</w:t>
      </w:r>
    </w:p>
    <w:p>
      <w:pPr>
        <w:jc w:val="center"/>
      </w:pPr>
      <w:r>
        <w:rPr>
          <w:rFonts w:ascii="Arial" w:hAnsi="Arial"/>
          <w:b w:val="0"/>
          <w:color w:val="30302F"/>
          <w:sz w:val="28"/>
        </w:rPr>
        <w:t>Fish stocks, value chains, ocean GDP, satellite accounts, blue economy</w:t>
      </w:r>
    </w:p>
    <w:p>
      <w:r>
        <w:br w:type="page"/>
      </w:r>
    </w:p>
    <w:p/>
    <w:p/>
    <w:p/>
    <w:p>
      <w:pPr>
        <w:jc w:val="center"/>
      </w:pPr>
      <w:r>
        <w:rPr>
          <w:rFonts w:ascii="Arial" w:hAnsi="Arial"/>
          <w:b w:val="0"/>
          <w:color w:val="7B2D8E"/>
          <w:sz w:val="36"/>
        </w:rPr>
        <w:t>STATION 4</w:t>
      </w:r>
    </w:p>
    <w:p>
      <w:pPr>
        <w:jc w:val="center"/>
      </w:pPr>
      <w:r>
        <w:rPr>
          <w:rFonts w:ascii="Arial" w:hAnsi="Arial"/>
          <w:b/>
          <w:color w:val="7B2D8E"/>
          <w:sz w:val="88"/>
        </w:rPr>
        <w:t>Ecosystem Condition &amp; Biodiversity</w:t>
      </w:r>
    </w:p>
    <w:p>
      <w:pPr>
        <w:jc w:val="center"/>
      </w:pPr>
      <w:r>
        <w:rPr>
          <w:rFonts w:ascii="Arial" w:hAnsi="Arial"/>
          <w:b w:val="0"/>
          <w:color w:val="30302F"/>
          <w:sz w:val="28"/>
        </w:rPr>
        <w:t>Coral reefs, water quality, biodiversity indices, condition indicators, monitoring</w:t>
      </w:r>
    </w:p>
    <w:p>
      <w:r>
        <w:br w:type="page"/>
      </w:r>
    </w:p>
    <w:p/>
    <w:p/>
    <w:p/>
    <w:p>
      <w:pPr>
        <w:jc w:val="center"/>
      </w:pPr>
      <w:r>
        <w:rPr>
          <w:rFonts w:ascii="Arial" w:hAnsi="Arial"/>
          <w:b w:val="0"/>
          <w:color w:val="D4A017"/>
          <w:sz w:val="36"/>
        </w:rPr>
        <w:t>STATION 5</w:t>
      </w:r>
    </w:p>
    <w:p>
      <w:pPr>
        <w:jc w:val="center"/>
      </w:pPr>
      <w:r>
        <w:rPr>
          <w:rFonts w:ascii="Arial" w:hAnsi="Arial"/>
          <w:b/>
          <w:color w:val="D4A017"/>
          <w:sz w:val="88"/>
        </w:rPr>
        <w:t>Social Accounts &amp; Community Engagement</w:t>
      </w:r>
    </w:p>
    <w:p>
      <w:pPr>
        <w:jc w:val="center"/>
      </w:pPr>
      <w:r>
        <w:rPr>
          <w:rFonts w:ascii="Arial" w:hAnsi="Arial"/>
          <w:b w:val="0"/>
          <w:color w:val="30302F"/>
          <w:sz w:val="28"/>
        </w:rPr>
        <w:t>Livelihoods, food security, distributional equity, governance, traditional knowledge</w:t>
      </w:r>
    </w:p>
    <w:sectPr w:rsidR="00FC693F" w:rsidRPr="0006063C" w:rsidSect="00034616">
      <w:pgSz w:w="15840" w:h="12240" w:orient="landscape"/>
      <w:pgMar w:top="1701" w:right="1800" w:bottom="170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