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val="0"/>
          <w:color w:val="0A5455"/>
          <w:sz w:val="32"/>
        </w:rPr>
        <w:t>Ocean Accounting Clinic -- Facilitator Triage Card</w:t>
      </w:r>
    </w:p>
    <w:p>
      <w:r>
        <w:rPr>
          <w:rFonts w:ascii="Arial" w:hAnsi="Arial"/>
          <w:b w:val="0"/>
          <w:color w:val="3B9C7B"/>
          <w:sz w:val="22"/>
        </w:rPr>
        <w:t>S-S Ocean Accounting Exchange 2026, Bogor</w:t>
      </w:r>
    </w:p>
    <w:p>
      <w:r>
        <w:rPr>
          <w:rFonts w:ascii="Arial" w:hAnsi="Arial"/>
          <w:b/>
          <w:color w:val="0A5455"/>
          <w:sz w:val="22"/>
        </w:rPr>
        <w:t>Ocean Accounts is one integrated framework.</w:t>
      </w:r>
      <w:r>
        <w:rPr>
          <w:rFonts w:ascii="Arial" w:hAnsi="Arial"/>
          <w:b w:val="0"/>
          <w:color w:val="30302F"/>
          <w:sz w:val="20"/>
        </w:rPr>
        <w:t xml:space="preserve"> All components (environment, economy, society, governance, pollution) share the same spatial foundation (Basic Spatial Units) and connect to each other. You compile once and report to many policy instruments. This card helps fellows choose </w:t>
      </w:r>
      <w:r>
        <w:rPr>
          <w:rFonts w:ascii="Arial" w:hAnsi="Arial"/>
          <w:b/>
          <w:color w:val="0A5455"/>
          <w:sz w:val="20"/>
        </w:rPr>
        <w:t>where to start</w:t>
      </w:r>
      <w:r>
        <w:rPr>
          <w:rFonts w:ascii="Arial" w:hAnsi="Arial"/>
          <w:b w:val="0"/>
          <w:color w:val="30302F"/>
          <w:sz w:val="20"/>
        </w:rPr>
        <w:t xml:space="preserve"> -- not which account to build in isolation.</w:t>
      </w:r>
    </w:p>
    <w:p>
      <w:r>
        <w:rPr>
          <w:rFonts w:ascii="Arial" w:hAnsi="Arial"/>
          <w:b w:val="0"/>
          <w:color w:val="0A5455"/>
          <w:sz w:val="28"/>
        </w:rPr>
        <w:t>Step 1: Ask three questions</w:t>
      </w:r>
    </w:p>
    <w:p>
      <w:r>
        <w:rPr>
          <w:rFonts w:ascii="Arial" w:hAnsi="Arial"/>
          <w:b w:val="0"/>
          <w:color w:val="30302F"/>
          <w:sz w:val="20"/>
        </w:rPr>
        <w:t>1. What is your policy priority? (This determines your starting point.)</w:t>
      </w:r>
    </w:p>
    <w:p>
      <w:r>
        <w:rPr>
          <w:rFonts w:ascii="Arial" w:hAnsi="Arial"/>
          <w:b w:val="0"/>
          <w:color w:val="30302F"/>
          <w:sz w:val="20"/>
        </w:rPr>
        <w:t xml:space="preserve">   - Extent, Condition, Services (SEEA-EA ecological)</w:t>
      </w:r>
    </w:p>
    <w:p>
      <w:r>
        <w:rPr>
          <w:rFonts w:ascii="Arial" w:hAnsi="Arial"/>
          <w:b w:val="0"/>
          <w:color w:val="30302F"/>
          <w:sz w:val="20"/>
        </w:rPr>
        <w:t xml:space="preserve">   - Ocean Economy or Tourism (SNA economic)</w:t>
      </w:r>
    </w:p>
    <w:p>
      <w:r>
        <w:rPr>
          <w:rFonts w:ascii="Arial" w:hAnsi="Arial"/>
          <w:b w:val="0"/>
          <w:color w:val="30302F"/>
          <w:sz w:val="20"/>
        </w:rPr>
        <w:t xml:space="preserve">   - Waste and Emissions (SEEA-CF environmental flows)</w:t>
      </w:r>
    </w:p>
    <w:p>
      <w:r>
        <w:rPr>
          <w:rFonts w:ascii="Arial" w:hAnsi="Arial"/>
          <w:b w:val="0"/>
          <w:color w:val="30302F"/>
          <w:sz w:val="20"/>
        </w:rPr>
        <w:t xml:space="preserve">   - Social and Governance (GOAP social dimensions)</w:t>
      </w:r>
    </w:p>
    <w:p>
      <w:r>
        <w:rPr>
          <w:rFonts w:ascii="Arial" w:hAnsi="Arial"/>
          <w:b w:val="0"/>
          <w:color w:val="30302F"/>
          <w:sz w:val="20"/>
        </w:rPr>
        <w:t xml:space="preserve">   - I don't know yet -&gt; diagnostic tool</w:t>
      </w:r>
    </w:p>
    <w:p>
      <w:r>
        <w:rPr>
          <w:rFonts w:ascii="Arial" w:hAnsi="Arial"/>
          <w:b w:val="0"/>
          <w:color w:val="30302F"/>
          <w:sz w:val="20"/>
        </w:rPr>
        <w:t>2. What data do you have? (None / Global datasets / National data / Field data)</w:t>
      </w:r>
    </w:p>
    <w:p>
      <w:r>
        <w:rPr>
          <w:rFonts w:ascii="Arial" w:hAnsi="Arial"/>
          <w:b w:val="0"/>
          <w:color w:val="30302F"/>
          <w:sz w:val="20"/>
        </w:rPr>
        <w:t>3. What is your policy question?</w:t>
      </w:r>
    </w:p>
    <w:p>
      <w:r>
        <w:rPr>
          <w:rFonts w:ascii="Arial" w:hAnsi="Arial"/>
          <w:b w:val="0"/>
          <w:color w:val="0A5455"/>
          <w:sz w:val="28"/>
        </w:rPr>
        <w:t>Step 2: Direct to the right pathway</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635"/>
        <w:gridCol w:w="2635"/>
        <w:gridCol w:w="2635"/>
        <w:gridCol w:w="2635"/>
      </w:tblGrid>
      <w:tr>
        <w:tc>
          <w:tcPr>
            <w:tcW w:type="dxa" w:w="2635"/>
            <w:shd w:fill="3B9C7B"/>
          </w:tcPr>
          <w:p>
            <w:pPr>
              <w:jc w:val="center"/>
            </w:pPr>
            <w:r/>
            <w:r>
              <w:rPr>
                <w:rFonts w:ascii="Arial" w:hAnsi="Arial"/>
                <w:b/>
                <w:color w:val="FFFFFF"/>
                <w:sz w:val="20"/>
              </w:rPr>
              <w:t>They want...</w:t>
            </w:r>
          </w:p>
        </w:tc>
        <w:tc>
          <w:tcPr>
            <w:tcW w:type="dxa" w:w="2635"/>
            <w:shd w:fill="3B9C7B"/>
          </w:tcPr>
          <w:p>
            <w:pPr>
              <w:jc w:val="center"/>
            </w:pPr>
            <w:r/>
            <w:r>
              <w:rPr>
                <w:rFonts w:ascii="Arial" w:hAnsi="Arial"/>
                <w:b/>
                <w:color w:val="FFFFFF"/>
                <w:sz w:val="20"/>
              </w:rPr>
              <w:t>They have...</w:t>
            </w:r>
          </w:p>
        </w:tc>
        <w:tc>
          <w:tcPr>
            <w:tcW w:type="dxa" w:w="2635"/>
            <w:shd w:fill="3B9C7B"/>
          </w:tcPr>
          <w:p>
            <w:pPr>
              <w:jc w:val="center"/>
            </w:pPr>
            <w:r/>
            <w:r>
              <w:rPr>
                <w:rFonts w:ascii="Arial" w:hAnsi="Arial"/>
                <w:b/>
                <w:color w:val="FFFFFF"/>
                <w:sz w:val="20"/>
              </w:rPr>
              <w:t>Pathway</w:t>
            </w:r>
          </w:p>
        </w:tc>
        <w:tc>
          <w:tcPr>
            <w:tcW w:type="dxa" w:w="2635"/>
            <w:shd w:fill="3B9C7B"/>
          </w:tcPr>
          <w:p>
            <w:pPr>
              <w:jc w:val="center"/>
            </w:pPr>
            <w:r/>
            <w:r>
              <w:rPr>
                <w:rFonts w:ascii="Arial" w:hAnsi="Arial"/>
                <w:b/>
                <w:color w:val="FFFFFF"/>
                <w:sz w:val="20"/>
              </w:rPr>
              <w:t>Materials</w:t>
            </w:r>
          </w:p>
        </w:tc>
      </w:tr>
      <w:tr>
        <w:tc>
          <w:tcPr>
            <w:tcW w:type="dxa" w:w="2635"/>
            <w:shd w:fill="0A5455"/>
          </w:tcPr>
          <w:p>
            <w:r/>
            <w:r>
              <w:rPr>
                <w:rFonts w:ascii="Arial" w:hAnsi="Arial"/>
                <w:b/>
                <w:color w:val="FFFFFF"/>
                <w:sz w:val="20"/>
              </w:rPr>
              <w:t>Extent</w:t>
            </w:r>
          </w:p>
        </w:tc>
        <w:tc>
          <w:tcPr>
            <w:tcW w:type="dxa" w:w="2635"/>
          </w:tcPr>
          <w:p>
            <w:r/>
            <w:r>
              <w:rPr>
                <w:rFonts w:ascii="Arial" w:hAnsi="Arial"/>
                <w:b w:val="0"/>
                <w:color w:val="30302F"/>
                <w:sz w:val="20"/>
              </w:rPr>
              <w:t>No data</w:t>
            </w:r>
          </w:p>
        </w:tc>
        <w:tc>
          <w:tcPr>
            <w:tcW w:type="dxa" w:w="2635"/>
          </w:tcPr>
          <w:p>
            <w:r/>
            <w:r>
              <w:rPr>
                <w:rFonts w:ascii="Arial" w:hAnsi="Arial"/>
                <w:b w:val="0"/>
                <w:color w:val="30302F"/>
                <w:sz w:val="20"/>
              </w:rPr>
              <w:t>A: Global datasets</w:t>
            </w:r>
          </w:p>
        </w:tc>
        <w:tc>
          <w:tcPr>
            <w:tcW w:type="dxa" w:w="2635"/>
          </w:tcPr>
          <w:p>
            <w:r/>
            <w:r>
              <w:rPr>
                <w:rFonts w:ascii="Arial" w:hAnsi="Arial"/>
                <w:b w:val="0"/>
                <w:color w:val="30302F"/>
                <w:sz w:val="20"/>
              </w:rPr>
              <w:t>extent_account_template.xlsx</w:t>
            </w:r>
          </w:p>
        </w:tc>
      </w:tr>
      <w:tr>
        <w:tc>
          <w:tcPr>
            <w:tcW w:type="dxa" w:w="2635"/>
            <w:shd w:fill="0A5455"/>
          </w:tcPr>
          <w:p>
            <w:r/>
            <w:r>
              <w:rPr>
                <w:rFonts w:ascii="Arial" w:hAnsi="Arial"/>
                <w:b/>
                <w:color w:val="FFFFFF"/>
                <w:sz w:val="20"/>
              </w:rPr>
              <w:t>Extent</w:t>
            </w:r>
          </w:p>
        </w:tc>
        <w:tc>
          <w:tcPr>
            <w:tcW w:type="dxa" w:w="2635"/>
          </w:tcPr>
          <w:p>
            <w:r/>
            <w:r>
              <w:rPr>
                <w:rFonts w:ascii="Arial" w:hAnsi="Arial"/>
                <w:b w:val="0"/>
                <w:color w:val="30302F"/>
                <w:sz w:val="20"/>
              </w:rPr>
              <w:t>Imagery or maps</w:t>
            </w:r>
          </w:p>
        </w:tc>
        <w:tc>
          <w:tcPr>
            <w:tcW w:type="dxa" w:w="2635"/>
          </w:tcPr>
          <w:p>
            <w:r/>
            <w:r>
              <w:rPr>
                <w:rFonts w:ascii="Arial" w:hAnsi="Arial"/>
                <w:b w:val="0"/>
                <w:color w:val="30302F"/>
                <w:sz w:val="20"/>
              </w:rPr>
              <w:t>B: Classification</w:t>
            </w:r>
          </w:p>
        </w:tc>
        <w:tc>
          <w:tcPr>
            <w:tcW w:type="dxa" w:w="2635"/>
          </w:tcPr>
          <w:p>
            <w:r/>
            <w:r>
              <w:rPr>
                <w:rFonts w:ascii="Arial" w:hAnsi="Arial"/>
                <w:b w:val="0"/>
                <w:color w:val="30302F"/>
                <w:sz w:val="20"/>
              </w:rPr>
              <w:t>extent_account_template.xlsx</w:t>
            </w:r>
          </w:p>
        </w:tc>
      </w:tr>
      <w:tr>
        <w:tc>
          <w:tcPr>
            <w:tcW w:type="dxa" w:w="2635"/>
            <w:shd w:fill="0A5455"/>
          </w:tcPr>
          <w:p>
            <w:r/>
            <w:r>
              <w:rPr>
                <w:rFonts w:ascii="Arial" w:hAnsi="Arial"/>
                <w:b/>
                <w:color w:val="FFFFFF"/>
                <w:sz w:val="20"/>
              </w:rPr>
              <w:t>Condition</w:t>
            </w:r>
          </w:p>
        </w:tc>
        <w:tc>
          <w:tcPr>
            <w:tcW w:type="dxa" w:w="2635"/>
          </w:tcPr>
          <w:p>
            <w:r/>
            <w:r>
              <w:rPr>
                <w:rFonts w:ascii="Arial" w:hAnsi="Arial"/>
                <w:b w:val="0"/>
                <w:color w:val="30302F"/>
                <w:sz w:val="20"/>
              </w:rPr>
              <w:t>No field data</w:t>
            </w:r>
          </w:p>
        </w:tc>
        <w:tc>
          <w:tcPr>
            <w:tcW w:type="dxa" w:w="2635"/>
          </w:tcPr>
          <w:p>
            <w:r/>
            <w:r>
              <w:rPr>
                <w:rFonts w:ascii="Arial" w:hAnsi="Arial"/>
                <w:b w:val="0"/>
                <w:color w:val="30302F"/>
                <w:sz w:val="20"/>
              </w:rPr>
              <w:t>A: RS proxies</w:t>
            </w:r>
          </w:p>
        </w:tc>
        <w:tc>
          <w:tcPr>
            <w:tcW w:type="dxa" w:w="2635"/>
          </w:tcPr>
          <w:p>
            <w:r/>
            <w:r>
              <w:rPr>
                <w:rFonts w:ascii="Arial" w:hAnsi="Arial"/>
                <w:b w:val="0"/>
                <w:color w:val="30302F"/>
                <w:sz w:val="20"/>
              </w:rPr>
              <w:t>condition_account_template.xlsx</w:t>
            </w:r>
          </w:p>
        </w:tc>
      </w:tr>
      <w:tr>
        <w:tc>
          <w:tcPr>
            <w:tcW w:type="dxa" w:w="2635"/>
            <w:shd w:fill="0A5455"/>
          </w:tcPr>
          <w:p>
            <w:r/>
            <w:r>
              <w:rPr>
                <w:rFonts w:ascii="Arial" w:hAnsi="Arial"/>
                <w:b/>
                <w:color w:val="FFFFFF"/>
                <w:sz w:val="20"/>
              </w:rPr>
              <w:t>Condition</w:t>
            </w:r>
          </w:p>
        </w:tc>
        <w:tc>
          <w:tcPr>
            <w:tcW w:type="dxa" w:w="2635"/>
          </w:tcPr>
          <w:p>
            <w:r/>
            <w:r>
              <w:rPr>
                <w:rFonts w:ascii="Arial" w:hAnsi="Arial"/>
                <w:b w:val="0"/>
                <w:color w:val="30302F"/>
                <w:sz w:val="20"/>
              </w:rPr>
              <w:t>Field surveys</w:t>
            </w:r>
          </w:p>
        </w:tc>
        <w:tc>
          <w:tcPr>
            <w:tcW w:type="dxa" w:w="2635"/>
          </w:tcPr>
          <w:p>
            <w:r/>
            <w:r>
              <w:rPr>
                <w:rFonts w:ascii="Arial" w:hAnsi="Arial"/>
                <w:b w:val="0"/>
                <w:color w:val="30302F"/>
                <w:sz w:val="20"/>
              </w:rPr>
              <w:t>B: Indicators</w:t>
            </w:r>
          </w:p>
        </w:tc>
        <w:tc>
          <w:tcPr>
            <w:tcW w:type="dxa" w:w="2635"/>
          </w:tcPr>
          <w:p>
            <w:r/>
            <w:r>
              <w:rPr>
                <w:rFonts w:ascii="Arial" w:hAnsi="Arial"/>
                <w:b w:val="0"/>
                <w:color w:val="30302F"/>
                <w:sz w:val="20"/>
              </w:rPr>
              <w:t>condition_account_template.xlsx</w:t>
              <w:br/>
              <w:t>condition_exercise.xlsx</w:t>
            </w:r>
          </w:p>
        </w:tc>
      </w:tr>
      <w:tr>
        <w:tc>
          <w:tcPr>
            <w:tcW w:type="dxa" w:w="2635"/>
            <w:shd w:fill="0A5455"/>
          </w:tcPr>
          <w:p>
            <w:r/>
            <w:r>
              <w:rPr>
                <w:rFonts w:ascii="Arial" w:hAnsi="Arial"/>
                <w:b/>
                <w:color w:val="FFFFFF"/>
                <w:sz w:val="20"/>
              </w:rPr>
              <w:t>Services</w:t>
            </w:r>
          </w:p>
        </w:tc>
        <w:tc>
          <w:tcPr>
            <w:tcW w:type="dxa" w:w="2635"/>
          </w:tcPr>
          <w:p>
            <w:r/>
            <w:r>
              <w:rPr>
                <w:rFonts w:ascii="Arial" w:hAnsi="Arial"/>
                <w:b w:val="0"/>
                <w:color w:val="30302F"/>
                <w:sz w:val="20"/>
              </w:rPr>
              <w:t>No data</w:t>
            </w:r>
          </w:p>
        </w:tc>
        <w:tc>
          <w:tcPr>
            <w:tcW w:type="dxa" w:w="2635"/>
          </w:tcPr>
          <w:p>
            <w:r/>
            <w:r>
              <w:rPr>
                <w:rFonts w:ascii="Arial" w:hAnsi="Arial"/>
                <w:b w:val="0"/>
                <w:color w:val="30302F"/>
                <w:sz w:val="20"/>
              </w:rPr>
              <w:t>A: Value transfer</w:t>
            </w:r>
          </w:p>
        </w:tc>
        <w:tc>
          <w:tcPr>
            <w:tcW w:type="dxa" w:w="2635"/>
          </w:tcPr>
          <w:p>
            <w:r/>
            <w:r>
              <w:rPr>
                <w:rFonts w:ascii="Arial" w:hAnsi="Arial"/>
                <w:b w:val="0"/>
                <w:color w:val="30302F"/>
                <w:sz w:val="20"/>
              </w:rPr>
              <w:t>services_account_template.xlsx</w:t>
            </w:r>
          </w:p>
        </w:tc>
      </w:tr>
      <w:tr>
        <w:tc>
          <w:tcPr>
            <w:tcW w:type="dxa" w:w="2635"/>
            <w:shd w:fill="0A5455"/>
          </w:tcPr>
          <w:p>
            <w:r/>
            <w:r>
              <w:rPr>
                <w:rFonts w:ascii="Arial" w:hAnsi="Arial"/>
                <w:b/>
                <w:color w:val="FFFFFF"/>
                <w:sz w:val="20"/>
              </w:rPr>
              <w:t>Services</w:t>
            </w:r>
          </w:p>
        </w:tc>
        <w:tc>
          <w:tcPr>
            <w:tcW w:type="dxa" w:w="2635"/>
          </w:tcPr>
          <w:p>
            <w:r/>
            <w:r>
              <w:rPr>
                <w:rFonts w:ascii="Arial" w:hAnsi="Arial"/>
                <w:b w:val="0"/>
                <w:color w:val="30302F"/>
                <w:sz w:val="20"/>
              </w:rPr>
              <w:t>Catch, visitors, etc.</w:t>
            </w:r>
          </w:p>
        </w:tc>
        <w:tc>
          <w:tcPr>
            <w:tcW w:type="dxa" w:w="2635"/>
          </w:tcPr>
          <w:p>
            <w:r/>
            <w:r>
              <w:rPr>
                <w:rFonts w:ascii="Arial" w:hAnsi="Arial"/>
                <w:b w:val="0"/>
                <w:color w:val="30302F"/>
                <w:sz w:val="20"/>
              </w:rPr>
              <w:t>B: Primary calc</w:t>
            </w:r>
          </w:p>
        </w:tc>
        <w:tc>
          <w:tcPr>
            <w:tcW w:type="dxa" w:w="2635"/>
          </w:tcPr>
          <w:p>
            <w:r/>
            <w:r>
              <w:rPr>
                <w:rFonts w:ascii="Arial" w:hAnsi="Arial"/>
                <w:b w:val="0"/>
                <w:color w:val="30302F"/>
                <w:sz w:val="20"/>
              </w:rPr>
              <w:t>services_account_template.xlsx</w:t>
              <w:br/>
              <w:t>services_exercise.xlsx</w:t>
            </w:r>
          </w:p>
        </w:tc>
      </w:tr>
      <w:tr>
        <w:tc>
          <w:tcPr>
            <w:tcW w:type="dxa" w:w="2635"/>
            <w:shd w:fill="0A5455"/>
          </w:tcPr>
          <w:p>
            <w:r/>
            <w:r>
              <w:rPr>
                <w:rFonts w:ascii="Arial" w:hAnsi="Arial"/>
                <w:b/>
                <w:color w:val="FFFFFF"/>
                <w:sz w:val="20"/>
              </w:rPr>
              <w:t>Ocean economy (GDP)</w:t>
            </w:r>
          </w:p>
        </w:tc>
        <w:tc>
          <w:tcPr>
            <w:tcW w:type="dxa" w:w="2635"/>
          </w:tcPr>
          <w:p>
            <w:r/>
            <w:r>
              <w:rPr>
                <w:rFonts w:ascii="Arial" w:hAnsi="Arial"/>
                <w:b w:val="0"/>
                <w:color w:val="30302F"/>
                <w:sz w:val="20"/>
              </w:rPr>
              <w:t>National statistics/SUT</w:t>
            </w:r>
          </w:p>
        </w:tc>
        <w:tc>
          <w:tcPr>
            <w:tcW w:type="dxa" w:w="2635"/>
          </w:tcPr>
          <w:p>
            <w:r/>
            <w:r>
              <w:rPr>
                <w:rFonts w:ascii="Arial" w:hAnsi="Arial"/>
                <w:b w:val="0"/>
                <w:color w:val="30302F"/>
                <w:sz w:val="20"/>
              </w:rPr>
              <w:t>economic/ OESA</w:t>
            </w:r>
          </w:p>
        </w:tc>
        <w:tc>
          <w:tcPr>
            <w:tcW w:type="dxa" w:w="2635"/>
          </w:tcPr>
          <w:p>
            <w:r/>
            <w:r>
              <w:rPr>
                <w:rFonts w:ascii="Arial" w:hAnsi="Arial"/>
                <w:b w:val="0"/>
                <w:color w:val="30302F"/>
                <w:sz w:val="20"/>
              </w:rPr>
              <w:t>OESA guidance</w:t>
            </w:r>
          </w:p>
        </w:tc>
      </w:tr>
      <w:tr>
        <w:tc>
          <w:tcPr>
            <w:tcW w:type="dxa" w:w="2635"/>
            <w:shd w:fill="0A5455"/>
          </w:tcPr>
          <w:p>
            <w:r/>
            <w:r>
              <w:rPr>
                <w:rFonts w:ascii="Arial" w:hAnsi="Arial"/>
                <w:b/>
                <w:color w:val="FFFFFF"/>
                <w:sz w:val="20"/>
              </w:rPr>
              <w:t>Ocean tourism</w:t>
            </w:r>
          </w:p>
        </w:tc>
        <w:tc>
          <w:tcPr>
            <w:tcW w:type="dxa" w:w="2635"/>
          </w:tcPr>
          <w:p>
            <w:r/>
            <w:r>
              <w:rPr>
                <w:rFonts w:ascii="Arial" w:hAnsi="Arial"/>
                <w:b w:val="0"/>
                <w:color w:val="30302F"/>
                <w:sz w:val="20"/>
              </w:rPr>
              <w:t>Tourism statistics</w:t>
            </w:r>
          </w:p>
        </w:tc>
        <w:tc>
          <w:tcPr>
            <w:tcW w:type="dxa" w:w="2635"/>
          </w:tcPr>
          <w:p>
            <w:r/>
            <w:r>
              <w:rPr>
                <w:rFonts w:ascii="Arial" w:hAnsi="Arial"/>
                <w:b w:val="0"/>
                <w:color w:val="30302F"/>
                <w:sz w:val="20"/>
              </w:rPr>
              <w:t>tourism/ OTSA</w:t>
            </w:r>
          </w:p>
        </w:tc>
        <w:tc>
          <w:tcPr>
            <w:tcW w:type="dxa" w:w="2635"/>
          </w:tcPr>
          <w:p>
            <w:r/>
            <w:r>
              <w:rPr>
                <w:rFonts w:ascii="Arial" w:hAnsi="Arial"/>
                <w:b w:val="0"/>
                <w:color w:val="30302F"/>
                <w:sz w:val="20"/>
              </w:rPr>
              <w:t>OTSA guidance</w:t>
            </w:r>
          </w:p>
        </w:tc>
      </w:tr>
      <w:tr>
        <w:tc>
          <w:tcPr>
            <w:tcW w:type="dxa" w:w="2635"/>
            <w:shd w:fill="0A5455"/>
          </w:tcPr>
          <w:p>
            <w:r/>
            <w:r>
              <w:rPr>
                <w:rFonts w:ascii="Arial" w:hAnsi="Arial"/>
                <w:b/>
                <w:color w:val="FFFFFF"/>
                <w:sz w:val="20"/>
              </w:rPr>
              <w:t>Waste/pollution</w:t>
            </w:r>
          </w:p>
        </w:tc>
        <w:tc>
          <w:tcPr>
            <w:tcW w:type="dxa" w:w="2635"/>
          </w:tcPr>
          <w:p>
            <w:r/>
            <w:r>
              <w:rPr>
                <w:rFonts w:ascii="Arial" w:hAnsi="Arial"/>
                <w:b w:val="0"/>
                <w:color w:val="30302F"/>
                <w:sz w:val="20"/>
              </w:rPr>
              <w:t>Waste/water quality data</w:t>
            </w:r>
          </w:p>
        </w:tc>
        <w:tc>
          <w:tcPr>
            <w:tcW w:type="dxa" w:w="2635"/>
          </w:tcPr>
          <w:p>
            <w:r/>
            <w:r>
              <w:rPr>
                <w:rFonts w:ascii="Arial" w:hAnsi="Arial"/>
                <w:b w:val="0"/>
                <w:color w:val="30302F"/>
                <w:sz w:val="20"/>
              </w:rPr>
              <w:t>waste/</w:t>
            </w:r>
          </w:p>
        </w:tc>
        <w:tc>
          <w:tcPr>
            <w:tcW w:type="dxa" w:w="2635"/>
          </w:tcPr>
          <w:p>
            <w:r/>
            <w:r>
              <w:rPr>
                <w:rFonts w:ascii="Arial" w:hAnsi="Arial"/>
                <w:b w:val="0"/>
                <w:color w:val="30302F"/>
                <w:sz w:val="20"/>
              </w:rPr>
              <w:t>SEEA-CF templates</w:t>
            </w:r>
          </w:p>
        </w:tc>
      </w:tr>
      <w:tr>
        <w:tc>
          <w:tcPr>
            <w:tcW w:type="dxa" w:w="2635"/>
            <w:shd w:fill="0A5455"/>
          </w:tcPr>
          <w:p>
            <w:r/>
            <w:r>
              <w:rPr>
                <w:rFonts w:ascii="Arial" w:hAnsi="Arial"/>
                <w:b/>
                <w:color w:val="FFFFFF"/>
                <w:sz w:val="20"/>
              </w:rPr>
              <w:t>Social/governance</w:t>
            </w:r>
          </w:p>
        </w:tc>
        <w:tc>
          <w:tcPr>
            <w:tcW w:type="dxa" w:w="2635"/>
          </w:tcPr>
          <w:p>
            <w:r/>
            <w:r>
              <w:rPr>
                <w:rFonts w:ascii="Arial" w:hAnsi="Arial"/>
                <w:b w:val="0"/>
                <w:color w:val="30302F"/>
                <w:sz w:val="20"/>
              </w:rPr>
              <w:t>Census, surveys</w:t>
            </w:r>
          </w:p>
        </w:tc>
        <w:tc>
          <w:tcPr>
            <w:tcW w:type="dxa" w:w="2635"/>
          </w:tcPr>
          <w:p>
            <w:r/>
            <w:r>
              <w:rPr>
                <w:rFonts w:ascii="Arial" w:hAnsi="Arial"/>
                <w:b w:val="0"/>
                <w:color w:val="30302F"/>
                <w:sz w:val="20"/>
              </w:rPr>
              <w:t>social/ scoping</w:t>
            </w:r>
          </w:p>
        </w:tc>
        <w:tc>
          <w:tcPr>
            <w:tcW w:type="dxa" w:w="2635"/>
          </w:tcPr>
          <w:p>
            <w:r/>
            <w:r>
              <w:rPr>
                <w:rFonts w:ascii="Arial" w:hAnsi="Arial"/>
                <w:b w:val="0"/>
                <w:color w:val="30302F"/>
                <w:sz w:val="20"/>
              </w:rPr>
              <w:t>GOAP social framework</w:t>
            </w:r>
          </w:p>
        </w:tc>
      </w:tr>
      <w:tr>
        <w:tc>
          <w:tcPr>
            <w:tcW w:type="dxa" w:w="2635"/>
            <w:shd w:fill="0A5455"/>
          </w:tcPr>
          <w:p>
            <w:r/>
            <w:r>
              <w:rPr>
                <w:rFonts w:ascii="Arial" w:hAnsi="Arial"/>
                <w:b/>
                <w:color w:val="FFFFFF"/>
                <w:sz w:val="20"/>
              </w:rPr>
              <w:t>Don't know</w:t>
            </w:r>
          </w:p>
        </w:tc>
        <w:tc>
          <w:tcPr>
            <w:tcW w:type="dxa" w:w="2635"/>
          </w:tcPr>
          <w:p>
            <w:r/>
            <w:r>
              <w:rPr>
                <w:rFonts w:ascii="Arial" w:hAnsi="Arial"/>
                <w:b w:val="0"/>
                <w:color w:val="30302F"/>
                <w:sz w:val="20"/>
              </w:rPr>
              <w:t>Any</w:t>
            </w:r>
          </w:p>
        </w:tc>
        <w:tc>
          <w:tcPr>
            <w:tcW w:type="dxa" w:w="2635"/>
          </w:tcPr>
          <w:p>
            <w:r/>
            <w:r>
              <w:rPr>
                <w:rFonts w:ascii="Arial" w:hAnsi="Arial"/>
                <w:b w:val="0"/>
                <w:color w:val="30302F"/>
                <w:sz w:val="20"/>
              </w:rPr>
              <w:t>Diagnostic tool</w:t>
            </w:r>
          </w:p>
        </w:tc>
        <w:tc>
          <w:tcPr>
            <w:tcW w:type="dxa" w:w="2635"/>
          </w:tcPr>
          <w:p>
            <w:r/>
            <w:r>
              <w:rPr>
                <w:rFonts w:ascii="Arial" w:hAnsi="Arial"/>
                <w:b w:val="0"/>
                <w:color w:val="30302F"/>
                <w:sz w:val="20"/>
              </w:rPr>
              <w:t>diagnostic-tool.md</w:t>
            </w:r>
          </w:p>
        </w:tc>
      </w:tr>
    </w:tbl>
    <w:p>
      <w:r>
        <w:rPr>
          <w:rFonts w:ascii="Arial" w:hAnsi="Arial"/>
          <w:b w:val="0"/>
          <w:color w:val="0A5455"/>
          <w:sz w:val="28"/>
        </w:rPr>
        <w:t>Step 3: Walk through with them</w:t>
      </w:r>
    </w:p>
    <w:p>
      <w:r>
        <w:rPr>
          <w:rFonts w:ascii="Arial" w:hAnsi="Arial"/>
          <w:b w:val="0"/>
          <w:color w:val="30302F"/>
          <w:sz w:val="20"/>
        </w:rPr>
        <w:t>1. Open the slides on screen (extent-slides / condition-slides / services-slides)</w:t>
      </w:r>
    </w:p>
    <w:p>
      <w:r>
        <w:rPr>
          <w:rFonts w:ascii="Arial" w:hAnsi="Arial"/>
          <w:b w:val="0"/>
          <w:color w:val="30302F"/>
          <w:sz w:val="20"/>
        </w:rPr>
        <w:t>2. Follow the step-by-step guide for their pathway</w:t>
      </w:r>
    </w:p>
    <w:p>
      <w:r>
        <w:rPr>
          <w:rFonts w:ascii="Arial" w:hAnsi="Arial"/>
          <w:b w:val="0"/>
          <w:color w:val="30302F"/>
          <w:sz w:val="20"/>
        </w:rPr>
        <w:t>3. Give them the exercise to practice</w:t>
      </w:r>
    </w:p>
    <w:p>
      <w:r>
        <w:rPr>
          <w:rFonts w:ascii="Arial" w:hAnsi="Arial"/>
          <w:b w:val="0"/>
          <w:color w:val="30302F"/>
          <w:sz w:val="20"/>
        </w:rPr>
        <w:t>4. Open the Excel template and help them fill it with their own data</w:t>
      </w:r>
    </w:p>
    <w:p>
      <w:r>
        <w:rPr>
          <w:rFonts w:ascii="Arial" w:hAnsi="Arial"/>
          <w:b w:val="0"/>
          <w:color w:val="0A5455"/>
          <w:sz w:val="28"/>
        </w:rPr>
        <w:t>Facilitator specializations</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3513"/>
        <w:gridCol w:w="3513"/>
        <w:gridCol w:w="3513"/>
      </w:tblGrid>
      <w:tr>
        <w:tc>
          <w:tcPr>
            <w:tcW w:type="dxa" w:w="3513"/>
            <w:shd w:fill="3B9C7B"/>
          </w:tcPr>
          <w:p>
            <w:pPr>
              <w:jc w:val="center"/>
            </w:pPr>
            <w:r/>
            <w:r>
              <w:rPr>
                <w:rFonts w:ascii="Arial" w:hAnsi="Arial"/>
                <w:b/>
                <w:color w:val="FFFFFF"/>
                <w:sz w:val="20"/>
              </w:rPr>
              <w:t>Facilitator</w:t>
            </w:r>
          </w:p>
        </w:tc>
        <w:tc>
          <w:tcPr>
            <w:tcW w:type="dxa" w:w="3513"/>
            <w:shd w:fill="3B9C7B"/>
          </w:tcPr>
          <w:p>
            <w:pPr>
              <w:jc w:val="center"/>
            </w:pPr>
            <w:r/>
            <w:r>
              <w:rPr>
                <w:rFonts w:ascii="Arial" w:hAnsi="Arial"/>
                <w:b/>
                <w:color w:val="FFFFFF"/>
                <w:sz w:val="20"/>
              </w:rPr>
              <w:t>Specialization</w:t>
            </w:r>
          </w:p>
        </w:tc>
        <w:tc>
          <w:tcPr>
            <w:tcW w:type="dxa" w:w="3513"/>
            <w:shd w:fill="3B9C7B"/>
          </w:tcPr>
          <w:p>
            <w:pPr>
              <w:jc w:val="center"/>
            </w:pPr>
            <w:r/>
            <w:r>
              <w:rPr>
                <w:rFonts w:ascii="Arial" w:hAnsi="Arial"/>
                <w:b/>
                <w:color w:val="FFFFFF"/>
                <w:sz w:val="20"/>
              </w:rPr>
              <w:t>Availability</w:t>
            </w:r>
          </w:p>
        </w:tc>
      </w:tr>
      <w:tr>
        <w:tc>
          <w:tcPr>
            <w:tcW w:type="dxa" w:w="3513"/>
            <w:shd w:fill="0A5455"/>
          </w:tcPr>
          <w:p>
            <w:r/>
            <w:r>
              <w:rPr>
                <w:rFonts w:ascii="Arial" w:hAnsi="Arial"/>
                <w:b/>
                <w:color w:val="FFFFFF"/>
                <w:sz w:val="20"/>
              </w:rPr>
              <w:t>Jordan Gacutan</w:t>
            </w:r>
          </w:p>
        </w:tc>
        <w:tc>
          <w:tcPr>
            <w:tcW w:type="dxa" w:w="3513"/>
          </w:tcPr>
          <w:p>
            <w:r/>
            <w:r>
              <w:rPr>
                <w:rFonts w:ascii="Arial" w:hAnsi="Arial"/>
                <w:b w:val="0"/>
                <w:color w:val="30302F"/>
                <w:sz w:val="20"/>
              </w:rPr>
              <w:t>Account structure, SEEA-EA, services, blue finance, GEF, NDC/NBSAP</w:t>
            </w:r>
          </w:p>
        </w:tc>
        <w:tc>
          <w:tcPr>
            <w:tcW w:type="dxa" w:w="3513"/>
          </w:tcPr>
          <w:p>
            <w:r/>
            <w:r>
              <w:rPr>
                <w:rFonts w:ascii="Arial" w:hAnsi="Arial"/>
                <w:b w:val="0"/>
                <w:color w:val="30302F"/>
                <w:sz w:val="20"/>
              </w:rPr>
              <w:t>Day 2</w:t>
            </w:r>
          </w:p>
        </w:tc>
      </w:tr>
      <w:tr>
        <w:tc>
          <w:tcPr>
            <w:tcW w:type="dxa" w:w="3513"/>
            <w:shd w:fill="0A5455"/>
          </w:tcPr>
          <w:p>
            <w:r/>
            <w:r>
              <w:rPr>
                <w:rFonts w:ascii="Arial" w:hAnsi="Arial"/>
                <w:b/>
                <w:color w:val="FFFFFF"/>
                <w:sz w:val="20"/>
              </w:rPr>
              <w:t>Maria Alarcon-Blazquez</w:t>
            </w:r>
          </w:p>
        </w:tc>
        <w:tc>
          <w:tcPr>
            <w:tcW w:type="dxa" w:w="3513"/>
          </w:tcPr>
          <w:p>
            <w:r/>
            <w:r>
              <w:rPr>
                <w:rFonts w:ascii="Arial" w:hAnsi="Arial"/>
                <w:b w:val="0"/>
                <w:color w:val="30302F"/>
                <w:sz w:val="20"/>
              </w:rPr>
              <w:t>SEEA-EA technical guidance, valuation, ecosystem services, policy briefs</w:t>
            </w:r>
          </w:p>
        </w:tc>
        <w:tc>
          <w:tcPr>
            <w:tcW w:type="dxa" w:w="3513"/>
          </w:tcPr>
          <w:p>
            <w:r/>
            <w:r>
              <w:rPr>
                <w:rFonts w:ascii="Arial" w:hAnsi="Arial"/>
                <w:b w:val="0"/>
                <w:color w:val="30302F"/>
                <w:sz w:val="20"/>
              </w:rPr>
              <w:t>Days 2-3</w:t>
            </w:r>
          </w:p>
        </w:tc>
      </w:tr>
      <w:tr>
        <w:tc>
          <w:tcPr>
            <w:tcW w:type="dxa" w:w="3513"/>
            <w:shd w:fill="0A5455"/>
          </w:tcPr>
          <w:p>
            <w:r/>
            <w:r>
              <w:rPr>
                <w:rFonts w:ascii="Arial" w:hAnsi="Arial"/>
                <w:b/>
                <w:color w:val="FFFFFF"/>
                <w:sz w:val="20"/>
              </w:rPr>
              <w:t>Becca</w:t>
            </w:r>
          </w:p>
        </w:tc>
        <w:tc>
          <w:tcPr>
            <w:tcW w:type="dxa" w:w="3513"/>
          </w:tcPr>
          <w:p>
            <w:r/>
            <w:r>
              <w:rPr>
                <w:rFonts w:ascii="Arial" w:hAnsi="Arial"/>
                <w:b w:val="0"/>
                <w:color w:val="30302F"/>
                <w:sz w:val="20"/>
              </w:rPr>
              <w:t>Social ocean accounts, community data, distributional analysis</w:t>
            </w:r>
          </w:p>
        </w:tc>
        <w:tc>
          <w:tcPr>
            <w:tcW w:type="dxa" w:w="3513"/>
          </w:tcPr>
          <w:p>
            <w:r/>
            <w:r>
              <w:rPr>
                <w:rFonts w:ascii="Arial" w:hAnsi="Arial"/>
                <w:b w:val="0"/>
                <w:color w:val="30302F"/>
                <w:sz w:val="20"/>
              </w:rPr>
              <w:t>Days 2-3</w:t>
            </w:r>
          </w:p>
        </w:tc>
      </w:tr>
    </w:tbl>
    <w:p>
      <w:r>
        <w:rPr>
          <w:rFonts w:ascii="Arial" w:hAnsi="Arial"/>
          <w:b w:val="0"/>
          <w:color w:val="0A5455"/>
          <w:sz w:val="28"/>
        </w:rPr>
        <w:t>Key reminders</w:t>
      </w:r>
    </w:p>
    <w:p>
      <w:r>
        <w:rPr>
          <w:rFonts w:ascii="Arial" w:hAnsi="Arial"/>
          <w:b/>
          <w:color w:val="3B9C7B"/>
          <w:sz w:val="20"/>
        </w:rPr>
        <w:t xml:space="preserve">-- </w:t>
      </w:r>
      <w:r>
        <w:rPr>
          <w:rFonts w:ascii="Arial" w:hAnsi="Arial"/>
          <w:b w:val="0"/>
          <w:color w:val="30302F"/>
          <w:sz w:val="20"/>
        </w:rPr>
        <w:t>Fellows must complete the GOAP Metadata Sheet BEFORE their session.</w:t>
      </w:r>
    </w:p>
    <w:p>
      <w:r>
        <w:rPr>
          <w:rFonts w:ascii="Arial" w:hAnsi="Arial"/>
          <w:b/>
          <w:color w:val="3B9C7B"/>
          <w:sz w:val="20"/>
        </w:rPr>
        <w:t xml:space="preserve">-- </w:t>
      </w:r>
      <w:r>
        <w:rPr>
          <w:rFonts w:ascii="Arial" w:hAnsi="Arial"/>
          <w:b w:val="0"/>
          <w:color w:val="30302F"/>
          <w:sz w:val="20"/>
        </w:rPr>
        <w:t>If they have no data, start with Pathway A (global datasets / value transfer).</w:t>
      </w:r>
    </w:p>
    <w:p>
      <w:r>
        <w:rPr>
          <w:rFonts w:ascii="Arial" w:hAnsi="Arial"/>
          <w:b/>
          <w:color w:val="3B9C7B"/>
          <w:sz w:val="20"/>
        </w:rPr>
        <w:t xml:space="preserve">-- </w:t>
      </w:r>
      <w:r>
        <w:rPr>
          <w:rFonts w:ascii="Arial" w:hAnsi="Arial"/>
          <w:b w:val="0"/>
          <w:color w:val="30302F"/>
          <w:sz w:val="20"/>
        </w:rPr>
        <w:t>A single-period account is valid. They do not need two time points.</w:t>
      </w:r>
    </w:p>
    <w:p>
      <w:r>
        <w:rPr>
          <w:rFonts w:ascii="Arial" w:hAnsi="Arial"/>
          <w:b/>
          <w:color w:val="3B9C7B"/>
          <w:sz w:val="20"/>
        </w:rPr>
        <w:t xml:space="preserve">-- </w:t>
      </w:r>
      <w:r>
        <w:rPr>
          <w:rFonts w:ascii="Arial" w:hAnsi="Arial"/>
          <w:b w:val="0"/>
          <w:color w:val="30302F"/>
          <w:sz w:val="20"/>
        </w:rPr>
        <w:t>Emphasize: do not let perfect be the enemy of good. Tier 1 is a valid start.</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