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Worked Example: Condition Account -- Belize Coral Reefs</w:t>
      </w:r>
    </w:p>
    <w:p>
      <w:r>
        <w:rPr>
          <w:rFonts w:ascii="Arial" w:hAnsi="Arial"/>
          <w:b w:val="0"/>
          <w:color w:val="3B9C7B"/>
          <w:sz w:val="22"/>
        </w:rPr>
        <w:t>Ecosystem type: Photic coral reefs (IUCN GET M1.3)  |  Accounting area: Northern Barrier Complex, Belize</w:t>
      </w:r>
    </w:p>
    <w:p>
      <w:pPr>
        <w:spacing w:before="80" w:after="80"/>
      </w:pPr>
      <w:r>
        <w:rPr>
          <w:rFonts w:ascii="Arial" w:hAnsi="Arial"/>
          <w:b w:val="0"/>
          <w:color w:val="555555"/>
          <w:sz w:val="18"/>
        </w:rPr>
        <w:t>Data source: Atlantic and Gulf Rapid Reef Assessment (AGRRA) surveys, 2019 (opening) and 2024 (closing). All indicators measured at permanent monitoring sites.</w:t>
      </w:r>
    </w:p>
    <w:p/>
    <w:p>
      <w:r>
        <w:rPr>
          <w:rFonts w:ascii="Arial" w:hAnsi="Arial"/>
          <w:b w:val="0"/>
          <w:color w:val="0A5455"/>
          <w:sz w:val="32"/>
        </w:rPr>
        <w:t>Table 3: Ecosystem Condition Account for Photic Coral Reefs (M1.3)</w:t>
      </w:r>
    </w:p>
    <w:p>
      <w:pPr>
        <w:spacing w:before="80" w:after="80"/>
      </w:pPr>
      <w:r>
        <w:rPr>
          <w:rFonts w:ascii="Arial" w:hAnsi="Arial"/>
          <w:b w:val="0"/>
          <w:color w:val="555555"/>
          <w:sz w:val="18"/>
        </w:rPr>
        <w:t>CI = Condition Index. Higher-is-better: CI = Value / Reference. Higher-is-worse: CI = 1 - (Value / Reference). All CIs capped at [0, 1].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Direction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Reference level</w:t>
              <w:br/>
              <w:t>(source)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</w:t>
              <w:br/>
              <w:t>value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</w:t>
              <w:br/>
              <w:t>CI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</w:t>
              <w:br/>
              <w:t>value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</w:t>
              <w:br/>
              <w:t>CI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Change</w:t>
              <w:br/>
              <w:t>in CI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Live coral cover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better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50%</w:t>
              <w:br/>
              <w:t>(Perry et al. 2013,</w:t>
              <w:br/>
              <w:t>Indo-Pacific)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31.1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0.62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26.6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0.53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-0.09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Fleshy macroalgae</w:t>
              <w:br/>
              <w:t>cover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worse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60%</w:t>
              <w:br/>
              <w:t>(maximum</w:t>
              <w:br/>
              <w:t>degraded state)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22.6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0.62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27.4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0.54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-0.08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biomass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kg/ha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better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500 kg/ha</w:t>
              <w:br/>
              <w:t>(McClanahan et al.</w:t>
              <w:br/>
              <w:t>2011, unfished)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213.8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0.43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193.8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0.39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-0.04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recruit</w:t>
              <w:br/>
              <w:t>density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 m²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better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 per m²</w:t>
              <w:br/>
              <w:t>(regional</w:t>
              <w:br/>
              <w:t>benchmark)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8.5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0.57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6.2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0.41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-0.15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Reef structural</w:t>
              <w:br/>
              <w:t>relief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cm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better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150 cm</w:t>
              <w:br/>
              <w:t>(healthy reef</w:t>
              <w:br/>
              <w:t>structure)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82.5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0.55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78.0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-0.03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Stable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Bleaching</w:t>
              <w:br/>
              <w:t>prevalence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 colonies</w:t>
              <w:br/>
              <w:t>bleached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worse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100%</w:t>
              <w:br/>
              <w:t>(all colonies</w:t>
              <w:br/>
              <w:t>bleached)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8.5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0.92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18.3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0.82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-0.10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Composite CI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(average of</w:t>
              <w:br/>
              <w:t>above)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0.62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0.53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-0.08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Data source: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AGRRA surveys 2019 and 2024, Northern Barrier Complex, Belize. Surveys covered 32 permanent transects across 8 reef sites spanning fore-reef and back-reef habitats.</w:t>
      </w:r>
    </w:p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The composite Condition Index declined from 0.62 to 0.53 over five years, indicating a reef system moving further from reference condition. Coral recruit density showed the largest decline (-0.15), suggesting reduced coral reproduction and early survivorship -- a leading indicator of future reef decline. Bleaching prevalence more than doubled (8.5% to 18.3%), consistent with the 2023 marine heatwave that affected the Mesoamerican Barrier Reef. Fish biomass remained low (&lt; 50% of reference) in both periods, reflecting chronic overfishing. Reef structural relief was the most stable indicator (-0.03), as physical structure changes slowly.</w:t>
      </w:r>
    </w:p>
    <w:p>
      <w:pPr>
        <w:spacing w:before="160"/>
      </w:pPr>
      <w:r>
        <w:rPr>
          <w:rFonts w:ascii="Arial" w:hAnsi="Arial"/>
          <w:b/>
          <w:color w:val="0A5455"/>
          <w:sz w:val="20"/>
        </w:rPr>
        <w:t>How to read the CI: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A CI of 1.0 means the indicator is at its reference level (best condition). A CI of 0.0 means fully degraded. For 'higher-is-worse' indicators (macroalgae, bleaching), the CI formula is inverted: CI = 1 - (value/reference), so higher observed values produce lower CIs.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