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32"/>
        </w:rPr>
        <w:t>Worked Example: Ecosystem Services Account -- Coastal District</w:t>
      </w:r>
    </w:p>
    <w:p>
      <w:r>
        <w:rPr>
          <w:rFonts w:ascii="Arial" w:hAnsi="Arial"/>
          <w:b w:val="0"/>
          <w:color w:val="3B9C7B"/>
          <w:sz w:val="22"/>
        </w:rPr>
        <w:t>Accounting area: illustrative coastal district with coral reefs, seagrass beds, and mangroves  |  Year: 2023</w:t>
      </w: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Three ecosystem types supply services to the local economy. Part A (physical units) is the core account; Part B (monetary) supplements it.</w:t>
      </w:r>
    </w:p>
    <w:p/>
    <w:p>
      <w:r>
        <w:rPr>
          <w:rFonts w:ascii="Arial" w:hAnsi="Arial"/>
          <w:b w:val="0"/>
          <w:color w:val="0A5455"/>
          <w:sz w:val="32"/>
        </w:rPr>
        <w:t>Table 4a: Physical Supply of Ecosystem Services (Part 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SEEA EA</w:t>
              <w:br/>
              <w:t>reference list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reefs</w:t>
              <w:br/>
              <w:t>(M1.3)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Seagrass</w:t>
              <w:br/>
              <w:t>(M1.1)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Mangroves</w:t>
              <w:br/>
              <w:t>(MFT1.2)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Provisioning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120,000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45,000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Wood (fuel)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Provisioning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tonnes/yr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85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85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Regulating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Mg CO₂/yr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1,040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1,295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Regulating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 coastline</w:t>
              <w:br/>
              <w:t>protected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3,500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Regulating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 biomass</w:t>
              <w:br/>
              <w:t>exported/yr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4,500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2,800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Sediment retention /</w:t>
              <w:br/>
              <w:t>carbonate production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Regulating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m³ CaCO₃/yr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8,400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8,400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 (reef</w:t>
              <w:br/>
              <w:t>diving/snorkelling)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Cultural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 (mangrove</w:t>
              <w:br/>
              <w:t>kayak/birdwatch)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Cultural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trips/yr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2,400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2,400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Gleaning</w:t>
              <w:br/>
              <w:t>(invertebrate harvest)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Cultural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</w:tr>
    </w:tbl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Dashes (--) indicate that the ecosystem type does not supply the service or the flow is negligible. Carbon sequestration counts only annual burial, not standing stock.</w:t>
      </w:r>
    </w:p>
    <w:p>
      <w:r>
        <w:br w:type="page"/>
      </w:r>
    </w:p>
    <w:p>
      <w:r>
        <w:rPr>
          <w:rFonts w:ascii="Arial" w:hAnsi="Arial"/>
          <w:b w:val="0"/>
          <w:color w:val="0A5455"/>
          <w:sz w:val="32"/>
        </w:rPr>
        <w:t>Table 4b: Monetary Supply of Ecosystem Services (Part B -- USD/year)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Valuation</w:t>
              <w:br/>
              <w:t>method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  <w:br/>
              <w:t>type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reefs</w:t>
              <w:br/>
              <w:t>(M1.3)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Seagrass</w:t>
              <w:br/>
              <w:t>(M1.1)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Mangroves</w:t>
              <w:br/>
              <w:t>(MFT1.2)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(USD/yr)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96,000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36,000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144,000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Wood (fuel)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 price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5,100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5,100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Social cost of</w:t>
              <w:br/>
              <w:t>carbon (USD 51/t)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Non-market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53,040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66,045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119,085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Avoided damage</w:t>
              <w:br/>
              <w:t>cost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Non-market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1,440,000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420,000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1,860,000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Productivity</w:t>
              <w:br/>
              <w:t>change method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90,000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56,000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146,000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Sediment retention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Replacement</w:t>
              <w:br/>
              <w:t>cost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Non-market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252,000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252,000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 (reef)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Direct</w:t>
              <w:br/>
              <w:t>expenditure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1,050,000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1,050,000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 (mangrove)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Direct</w:t>
              <w:br/>
              <w:t>expenditure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Market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62,400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62,400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Equivalent</w:t>
              <w:br/>
              <w:t>wage (USD 2.5/hr)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Mixed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48,000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48,000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--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2,928,000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193,040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565,545</w:t>
            </w:r>
          </w:p>
        </w:tc>
        <w:tc>
          <w:tcPr>
            <w:tcW w:type="dxa" w:w="2020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3,686,585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Interpretation: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Total annual value of ecosystem services is estimated at USD 3,686,585. Coastal protection (USD 1,860,000) and recreation (USD 1,112,400 combined) dominate total value, accounting for approximately 81% of the total. Fish provisioning -- often assumed to be the dominant service -- represents only about 4% of the monetary total (USD 144,000). This highlights a common finding: regulating and cultural services frequently exceed provisioning services in economic value, supporting the case for ecosystem conservation.</w:t>
      </w:r>
    </w:p>
    <w:p>
      <w:pPr>
        <w:spacing w:before="160"/>
      </w:pPr>
      <w:r>
        <w:rPr>
          <w:rFonts w:ascii="Arial" w:hAnsi="Arial"/>
          <w:b/>
          <w:color w:val="0A5455"/>
          <w:sz w:val="20"/>
        </w:rPr>
        <w:t>Methodological notes: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Fish provisioning valued at resource rent (market price minus production costs), not gross revenue. Carbon sequestration uses the US EPA social cost of carbon (USD 51/tCO₂, 2020 value). Coastal protection based on avoided damage to coastal infrastructure using storm damage functions. Gleaning valued at local equivalent wage rate as subsistence activity has no market price.</w:t>
      </w:r>
    </w:p>
    <w:p>
      <w:r>
        <w:br w:type="page"/>
      </w:r>
    </w:p>
    <w:p>
      <w:r>
        <w:rPr>
          <w:rFonts w:ascii="Arial" w:hAnsi="Arial"/>
          <w:b w:val="0"/>
          <w:color w:val="0A5455"/>
          <w:sz w:val="32"/>
        </w:rPr>
        <w:t>Table 4e: Combined Physical Supply and Use Table</w:t>
      </w: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The SEEA EA presents supply and use together in a single integrated table. The left half shows which ecosystem types supply each service; the right half shows which economic sectors use (benefit from) each service. Total supply = Total use for every row.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Coral reefs</w:t>
              <w:br/>
              <w:t>(supply)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Seagrass</w:t>
              <w:br/>
              <w:t>(supply)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Mangroves</w:t>
              <w:br/>
              <w:t>(supply)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supply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Fisheries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Tourism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HH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Govt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Global</w:t>
              <w:br/>
              <w:t>(use)</w:t>
            </w:r>
          </w:p>
        </w:tc>
        <w:tc>
          <w:tcPr>
            <w:tcW w:type="dxa" w:w="1178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use</w:t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120,000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45,000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Mg CO₂/yr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1,040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1,295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m coastline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12,000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3,500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10,000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5,500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kg biomass/yr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4,500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2,800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2,400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17,400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2,400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17,400</w:t>
            </w:r>
          </w:p>
        </w:tc>
      </w:tr>
      <w:tr>
        <w:tc>
          <w:tcPr>
            <w:tcW w:type="dxa" w:w="1178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178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A5455"/>
          <w:sz w:val="20"/>
        </w:rPr>
        <w:t>Reading the combined table:</w:t>
      </w:r>
    </w:p>
    <w:p>
      <w:pPr>
        <w:spacing w:after="120"/>
      </w:pPr>
      <w:r>
        <w:rPr>
          <w:rFonts w:ascii="Arial" w:hAnsi="Arial"/>
          <w:b w:val="0"/>
          <w:color w:val="30302F"/>
          <w:sz w:val="20"/>
        </w:rPr>
        <w:t>Each row tells the complete story of one service. For example, fish provisioning: 120,000 kg comes from coral reefs, 45,000 kg from seagrass, and 15,000 kg from mangroves (total supply = 180,000 kg). All 180,000 kg is used by the fisheries sector (total use = 180,000 kg). The accounting identity -- total supply equals total use -- must hold for every row. This is a fundamental check on the account's consistency.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