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EED9" w14:textId="158F28CE" w:rsidR="00AD1ADA" w:rsidRPr="00221534" w:rsidRDefault="00AD1ADA" w:rsidP="00221534">
      <w:pPr>
        <w:pStyle w:val="NormalWeb"/>
        <w:jc w:val="center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“Población rural, crisis política y movilizaciones: imbricaciones de género, etnicidad y clase” – Angélica Motta</w:t>
      </w:r>
    </w:p>
    <w:p w14:paraId="316A9498" w14:textId="77777777" w:rsidR="00AD1ADA" w:rsidRPr="00221534" w:rsidRDefault="00AD1ADA" w:rsidP="00221534">
      <w:pPr>
        <w:jc w:val="both"/>
        <w:rPr>
          <w:rFonts w:asciiTheme="minorHAnsi" w:hAnsiTheme="minorHAnsi" w:cstheme="minorHAnsi"/>
        </w:rPr>
      </w:pPr>
    </w:p>
    <w:p w14:paraId="26D91925" w14:textId="77777777" w:rsidR="00AD1ADA" w:rsidRPr="00221534" w:rsidRDefault="00AD1ADA" w:rsidP="00221534">
      <w:pPr>
        <w:jc w:val="both"/>
        <w:rPr>
          <w:rFonts w:asciiTheme="minorHAnsi" w:hAnsiTheme="minorHAnsi" w:cstheme="minorHAnsi"/>
          <w:i/>
          <w:iCs/>
          <w:u w:val="single"/>
        </w:rPr>
      </w:pPr>
    </w:p>
    <w:p w14:paraId="708D07B3" w14:textId="60D357B8" w:rsidR="004D519C" w:rsidRPr="004D519C" w:rsidRDefault="004D519C" w:rsidP="00221534">
      <w:pPr>
        <w:jc w:val="both"/>
        <w:rPr>
          <w:rFonts w:asciiTheme="minorHAnsi" w:hAnsiTheme="minorHAnsi" w:cstheme="minorHAnsi"/>
          <w:i/>
          <w:iCs/>
          <w:u w:val="single"/>
        </w:rPr>
      </w:pPr>
      <w:r w:rsidRPr="004D519C">
        <w:rPr>
          <w:rFonts w:asciiTheme="minorHAnsi" w:hAnsiTheme="minorHAnsi" w:cstheme="minorHAnsi"/>
          <w:i/>
          <w:iCs/>
          <w:u w:val="single"/>
        </w:rPr>
        <w:t xml:space="preserve">Motta, A. (2024). Población rural, crisis política y movilizaciones: imbricaciones de género, etnicidad y clase. En R. Pajuelo (Ed.), </w:t>
      </w:r>
      <w:r w:rsidRPr="004D519C">
        <w:rPr>
          <w:rFonts w:asciiTheme="minorHAnsi" w:hAnsiTheme="minorHAnsi" w:cstheme="minorHAnsi"/>
          <w:b/>
          <w:bCs/>
          <w:i/>
          <w:iCs/>
          <w:u w:val="single"/>
        </w:rPr>
        <w:t>Crisis política y estallido social en el Perú</w:t>
      </w:r>
      <w:r w:rsidRPr="004D519C">
        <w:rPr>
          <w:rFonts w:asciiTheme="minorHAnsi" w:hAnsiTheme="minorHAnsi" w:cstheme="minorHAnsi"/>
          <w:i/>
          <w:iCs/>
          <w:u w:val="single"/>
        </w:rPr>
        <w:t xml:space="preserve"> (pp. 398-431). SEPIA</w:t>
      </w:r>
    </w:p>
    <w:p w14:paraId="17A53088" w14:textId="37438B7A" w:rsidR="004D519C" w:rsidRPr="00221534" w:rsidRDefault="004D519C" w:rsidP="00221534">
      <w:pPr>
        <w:jc w:val="both"/>
        <w:rPr>
          <w:rFonts w:asciiTheme="minorHAnsi" w:hAnsiTheme="minorHAnsi" w:cstheme="minorHAnsi"/>
        </w:rPr>
      </w:pPr>
    </w:p>
    <w:p w14:paraId="0D5AA378" w14:textId="77777777" w:rsidR="00AD1ADA" w:rsidRPr="00221534" w:rsidRDefault="00AD1ADA" w:rsidP="00221534">
      <w:pPr>
        <w:pStyle w:val="NormalWeb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 xml:space="preserve">El capítulo analiza la participación de la población rural en las movilizaciones tras la destitución de Pedro Castillo (diciembre 2022) y el ascenso de Dina Boluarte, enfatizando cómo </w:t>
      </w:r>
      <w:r w:rsidRPr="00221534">
        <w:rPr>
          <w:rStyle w:val="Textoennegrita"/>
          <w:rFonts w:asciiTheme="minorHAnsi" w:hAnsiTheme="minorHAnsi" w:cstheme="minorHAnsi"/>
        </w:rPr>
        <w:t>género, etnicidad y clase</w:t>
      </w:r>
      <w:r w:rsidRPr="00221534">
        <w:rPr>
          <w:rFonts w:asciiTheme="minorHAnsi" w:hAnsiTheme="minorHAnsi" w:cstheme="minorHAnsi"/>
        </w:rPr>
        <w:t xml:space="preserve"> se entrecruzan en la configuración de las protestas y en la respuesta estatal. La mirada interseccional muestra a las mujeres rurales, comunidades indígenas y sectores populares como </w:t>
      </w:r>
      <w:r w:rsidRPr="00221534">
        <w:rPr>
          <w:rStyle w:val="Textoennegrita"/>
          <w:rFonts w:asciiTheme="minorHAnsi" w:hAnsiTheme="minorHAnsi" w:cstheme="minorHAnsi"/>
        </w:rPr>
        <w:t>actores centrales</w:t>
      </w:r>
      <w:r w:rsidRPr="00221534">
        <w:rPr>
          <w:rFonts w:asciiTheme="minorHAnsi" w:hAnsiTheme="minorHAnsi" w:cstheme="minorHAnsi"/>
        </w:rPr>
        <w:t>, no secundarios, en el estallido social.</w:t>
      </w:r>
    </w:p>
    <w:p w14:paraId="693DF55A" w14:textId="7C3BCE9D" w:rsidR="00AD1ADA" w:rsidRPr="00221534" w:rsidRDefault="00AD1ADA" w:rsidP="00221534">
      <w:pPr>
        <w:jc w:val="both"/>
        <w:rPr>
          <w:rFonts w:asciiTheme="minorHAnsi" w:hAnsiTheme="minorHAnsi" w:cstheme="minorHAnsi"/>
        </w:rPr>
      </w:pPr>
    </w:p>
    <w:p w14:paraId="08FA77D5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1. Protagonismo y visibilidad de las mujeres</w:t>
      </w:r>
    </w:p>
    <w:p w14:paraId="0BD3DCB5" w14:textId="77777777" w:rsidR="00AD1ADA" w:rsidRPr="00221534" w:rsidRDefault="00AD1ADA" w:rsidP="00221534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Hito histórico</w:t>
      </w:r>
      <w:r w:rsidRPr="00221534">
        <w:rPr>
          <w:rFonts w:asciiTheme="minorHAnsi" w:hAnsiTheme="minorHAnsi" w:cstheme="minorHAnsi"/>
        </w:rPr>
        <w:t xml:space="preserve">: Las movilizaciones 2022–2023 marcaron un punto de inflexión en la </w:t>
      </w:r>
      <w:r w:rsidRPr="00221534">
        <w:rPr>
          <w:rStyle w:val="Textoennegrita"/>
          <w:rFonts w:asciiTheme="minorHAnsi" w:hAnsiTheme="minorHAnsi" w:cstheme="minorHAnsi"/>
        </w:rPr>
        <w:t>visibilidad política de las mujeres rurales</w:t>
      </w:r>
      <w:r w:rsidRPr="00221534">
        <w:rPr>
          <w:rFonts w:asciiTheme="minorHAnsi" w:hAnsiTheme="minorHAnsi" w:cstheme="minorHAnsi"/>
        </w:rPr>
        <w:t>, con participación masiva tanto en las calles de Lima como en sus propias regiones.</w:t>
      </w:r>
    </w:p>
    <w:p w14:paraId="59C6B351" w14:textId="775701F5" w:rsidR="00AD1ADA" w:rsidRDefault="00AD1ADA" w:rsidP="00221534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Actores clave</w:t>
      </w:r>
      <w:r w:rsidRPr="00221534">
        <w:rPr>
          <w:rFonts w:asciiTheme="minorHAnsi" w:hAnsiTheme="minorHAnsi" w:cstheme="minorHAnsi"/>
        </w:rPr>
        <w:t>: Aunque los varones tuvieron mayor exposición en la primera línea de enfrentamiento (con más víctimas fatales), en lugares como Cusco se observó una participación casi paritaria entre hombres y mujeres en las primeras marchas.</w:t>
      </w:r>
    </w:p>
    <w:p w14:paraId="5FF300F3" w14:textId="77777777" w:rsidR="00221534" w:rsidRPr="00221534" w:rsidRDefault="00221534" w:rsidP="00221534">
      <w:pPr>
        <w:pStyle w:val="NormalWeb"/>
        <w:ind w:left="720"/>
        <w:jc w:val="both"/>
        <w:rPr>
          <w:rFonts w:asciiTheme="minorHAnsi" w:hAnsiTheme="minorHAnsi" w:cstheme="minorHAnsi"/>
        </w:rPr>
      </w:pPr>
    </w:p>
    <w:p w14:paraId="36DA00AB" w14:textId="77777777" w:rsidR="00AD1ADA" w:rsidRPr="00221534" w:rsidRDefault="00AD1ADA" w:rsidP="00221534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Símbolos potentes</w:t>
      </w:r>
      <w:r w:rsidRPr="00221534">
        <w:rPr>
          <w:rFonts w:asciiTheme="minorHAnsi" w:hAnsiTheme="minorHAnsi" w:cstheme="minorHAnsi"/>
        </w:rPr>
        <w:t>:</w:t>
      </w:r>
    </w:p>
    <w:p w14:paraId="64587C95" w14:textId="77777777" w:rsidR="00AD1ADA" w:rsidRPr="00221534" w:rsidRDefault="00AD1ADA" w:rsidP="00221534">
      <w:pPr>
        <w:pStyle w:val="NormalWeb"/>
        <w:numPr>
          <w:ilvl w:val="1"/>
          <w:numId w:val="6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Aída Aroni, mujer quechua de Ayacucho, se volvió ícono de resistencia en la segunda “Toma de Lima”.</w:t>
      </w:r>
    </w:p>
    <w:p w14:paraId="31B03F84" w14:textId="77777777" w:rsidR="00AD1ADA" w:rsidRPr="00221534" w:rsidRDefault="00AD1ADA" w:rsidP="00221534">
      <w:pPr>
        <w:pStyle w:val="NormalWeb"/>
        <w:numPr>
          <w:ilvl w:val="1"/>
          <w:numId w:val="6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Mujeres aimaras puneñas viajaron con sus hijos “a la usanza andina”, reafirmando la centralidad del cuidado.</w:t>
      </w:r>
    </w:p>
    <w:p w14:paraId="1B9D58DA" w14:textId="539ADE82" w:rsidR="00221534" w:rsidRPr="00221534" w:rsidRDefault="00AD1ADA" w:rsidP="00221534">
      <w:pPr>
        <w:pStyle w:val="NormalWeb"/>
        <w:numPr>
          <w:ilvl w:val="1"/>
          <w:numId w:val="6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 xml:space="preserve">La </w:t>
      </w:r>
      <w:r w:rsidRPr="00221534">
        <w:rPr>
          <w:rStyle w:val="Textoennegrita"/>
          <w:rFonts w:asciiTheme="minorHAnsi" w:hAnsiTheme="minorHAnsi" w:cstheme="minorHAnsi"/>
        </w:rPr>
        <w:t>vestimenta tradicional</w:t>
      </w:r>
      <w:r w:rsidRPr="00221534">
        <w:rPr>
          <w:rFonts w:asciiTheme="minorHAnsi" w:hAnsiTheme="minorHAnsi" w:cstheme="minorHAnsi"/>
        </w:rPr>
        <w:t xml:space="preserve"> (polleras, lliclla, sombreros) fue emblema de orgullo identitario y confrontación política frente a las élites.</w:t>
      </w:r>
    </w:p>
    <w:p w14:paraId="3AF1C9CC" w14:textId="68D7767E" w:rsidR="00221534" w:rsidRDefault="00221534" w:rsidP="00221534">
      <w:pPr>
        <w:jc w:val="both"/>
        <w:rPr>
          <w:rFonts w:asciiTheme="minorHAnsi" w:hAnsiTheme="minorHAnsi" w:cstheme="minorHAnsi"/>
        </w:rPr>
      </w:pPr>
    </w:p>
    <w:p w14:paraId="2CE9A261" w14:textId="08784851" w:rsidR="00221534" w:rsidRDefault="00221534" w:rsidP="00221534">
      <w:pPr>
        <w:jc w:val="both"/>
        <w:rPr>
          <w:rFonts w:asciiTheme="minorHAnsi" w:hAnsiTheme="minorHAnsi" w:cstheme="minorHAnsi"/>
        </w:rPr>
      </w:pPr>
    </w:p>
    <w:p w14:paraId="097AFD55" w14:textId="4E55584E" w:rsidR="00221534" w:rsidRDefault="00221534" w:rsidP="00221534">
      <w:pPr>
        <w:jc w:val="both"/>
        <w:rPr>
          <w:rFonts w:asciiTheme="minorHAnsi" w:hAnsiTheme="minorHAnsi" w:cstheme="minorHAnsi"/>
        </w:rPr>
      </w:pPr>
    </w:p>
    <w:p w14:paraId="3B298B8B" w14:textId="77777777" w:rsidR="00221534" w:rsidRPr="00221534" w:rsidRDefault="00221534" w:rsidP="00221534">
      <w:pPr>
        <w:jc w:val="both"/>
        <w:rPr>
          <w:rFonts w:asciiTheme="minorHAnsi" w:hAnsiTheme="minorHAnsi" w:cstheme="minorHAnsi"/>
        </w:rPr>
      </w:pPr>
    </w:p>
    <w:p w14:paraId="575F4C73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lastRenderedPageBreak/>
        <w:t>2. Organización y roles de género</w:t>
      </w:r>
    </w:p>
    <w:p w14:paraId="7E04AB9E" w14:textId="77777777" w:rsidR="00AD1ADA" w:rsidRPr="00221534" w:rsidRDefault="00AD1ADA" w:rsidP="00221534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Cuidado como acción política</w:t>
      </w:r>
      <w:r w:rsidRPr="00221534">
        <w:rPr>
          <w:rFonts w:asciiTheme="minorHAnsi" w:hAnsiTheme="minorHAnsi" w:cstheme="minorHAnsi"/>
        </w:rPr>
        <w:t>:</w:t>
      </w:r>
    </w:p>
    <w:p w14:paraId="1438D66B" w14:textId="77777777" w:rsidR="00AD1ADA" w:rsidRPr="00221534" w:rsidRDefault="00AD1ADA" w:rsidP="00221534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 xml:space="preserve">Ollas comunes, provisión de alimentos y logística de cuidado visibilizaron el </w:t>
      </w:r>
      <w:r w:rsidRPr="00221534">
        <w:rPr>
          <w:rStyle w:val="Textoennegrita"/>
          <w:rFonts w:asciiTheme="minorHAnsi" w:hAnsiTheme="minorHAnsi" w:cstheme="minorHAnsi"/>
        </w:rPr>
        <w:t>sostenimiento de la vida</w:t>
      </w:r>
      <w:r w:rsidRPr="00221534">
        <w:rPr>
          <w:rFonts w:asciiTheme="minorHAnsi" w:hAnsiTheme="minorHAnsi" w:cstheme="minorHAnsi"/>
        </w:rPr>
        <w:t xml:space="preserve"> como dimensión política, desdibujando la frontera entre lo privado y lo público.</w:t>
      </w:r>
    </w:p>
    <w:p w14:paraId="477BAF8A" w14:textId="0927CC50" w:rsidR="00221534" w:rsidRDefault="00AD1ADA" w:rsidP="00221534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Esta “politicidad femenina popular” conecta con tradiciones de lucha desde los clubes de madres y comedores populares de los años 80, hasta las ollas comunes de la pandemia.</w:t>
      </w:r>
    </w:p>
    <w:p w14:paraId="56D5DCA6" w14:textId="77777777" w:rsidR="00221534" w:rsidRPr="00221534" w:rsidRDefault="00221534" w:rsidP="00221534">
      <w:pPr>
        <w:pStyle w:val="NormalWeb"/>
        <w:ind w:left="1440"/>
        <w:jc w:val="both"/>
        <w:rPr>
          <w:rFonts w:asciiTheme="minorHAnsi" w:hAnsiTheme="minorHAnsi" w:cstheme="minorHAnsi"/>
        </w:rPr>
      </w:pPr>
    </w:p>
    <w:p w14:paraId="3C6ED335" w14:textId="77777777" w:rsidR="00AD1ADA" w:rsidRPr="00221534" w:rsidRDefault="00AD1ADA" w:rsidP="00221534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highlight w:val="yellow"/>
        </w:rPr>
      </w:pPr>
      <w:r w:rsidRPr="00221534">
        <w:rPr>
          <w:rStyle w:val="Textoennegrita"/>
          <w:rFonts w:asciiTheme="minorHAnsi" w:hAnsiTheme="minorHAnsi" w:cstheme="minorHAnsi"/>
          <w:highlight w:val="yellow"/>
        </w:rPr>
        <w:t>Trayectoria histórica y empoderamiento</w:t>
      </w:r>
      <w:r w:rsidRPr="00221534">
        <w:rPr>
          <w:rFonts w:asciiTheme="minorHAnsi" w:hAnsiTheme="minorHAnsi" w:cstheme="minorHAnsi"/>
          <w:highlight w:val="yellow"/>
        </w:rPr>
        <w:t xml:space="preserve">: Organizaciones como </w:t>
      </w:r>
      <w:r w:rsidRPr="00221534">
        <w:rPr>
          <w:rStyle w:val="Textoennegrita"/>
          <w:rFonts w:asciiTheme="minorHAnsi" w:hAnsiTheme="minorHAnsi" w:cstheme="minorHAnsi"/>
          <w:highlight w:val="yellow"/>
        </w:rPr>
        <w:t>OMABASI, ADEMUC y FENATE</w:t>
      </w:r>
      <w:r w:rsidRPr="00221534">
        <w:rPr>
          <w:rFonts w:asciiTheme="minorHAnsi" w:hAnsiTheme="minorHAnsi" w:cstheme="minorHAnsi"/>
          <w:highlight w:val="yellow"/>
        </w:rPr>
        <w:t xml:space="preserve"> respaldan un proceso sostenido de empoderamiento político de mujeres rurales.</w:t>
      </w:r>
    </w:p>
    <w:p w14:paraId="02A968F5" w14:textId="77777777" w:rsidR="00AD1ADA" w:rsidRPr="00221534" w:rsidRDefault="00AD1ADA" w:rsidP="00221534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Educación y liderazgo</w:t>
      </w:r>
      <w:r w:rsidRPr="00221534">
        <w:rPr>
          <w:rFonts w:asciiTheme="minorHAnsi" w:hAnsiTheme="minorHAnsi" w:cstheme="minorHAnsi"/>
        </w:rPr>
        <w:t>: El incremento de mujeres con secundaria completa en zonas rurales aparece como factor que impulsa su mayor protagonismo político.</w:t>
      </w:r>
    </w:p>
    <w:p w14:paraId="382C242B" w14:textId="657E9FFF" w:rsidR="00AD1ADA" w:rsidRDefault="00AD1ADA" w:rsidP="00221534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Desafíos en la toma de decisiones</w:t>
      </w:r>
      <w:r w:rsidRPr="00221534">
        <w:rPr>
          <w:rFonts w:asciiTheme="minorHAnsi" w:hAnsiTheme="minorHAnsi" w:cstheme="minorHAnsi"/>
        </w:rPr>
        <w:t xml:space="preserve">: En espacios locales la presencia femenina es fuerte, pero disminuye a nivel provincial/regional. El principio de </w:t>
      </w:r>
      <w:r w:rsidRPr="00221534">
        <w:rPr>
          <w:rStyle w:val="Textoennegrita"/>
          <w:rFonts w:asciiTheme="minorHAnsi" w:hAnsiTheme="minorHAnsi" w:cstheme="minorHAnsi"/>
        </w:rPr>
        <w:t>chachawarmi</w:t>
      </w:r>
      <w:r w:rsidRPr="00221534">
        <w:rPr>
          <w:rFonts w:asciiTheme="minorHAnsi" w:hAnsiTheme="minorHAnsi" w:cstheme="minorHAnsi"/>
        </w:rPr>
        <w:t xml:space="preserve"> (dualidad de género andina) contrasta con la realidad jerárquica donde el varón suele prevalecer.</w:t>
      </w:r>
    </w:p>
    <w:p w14:paraId="26094F13" w14:textId="5A8AD6D9" w:rsidR="00AD1ADA" w:rsidRPr="00221534" w:rsidRDefault="00AD1ADA" w:rsidP="00221534">
      <w:pPr>
        <w:jc w:val="both"/>
        <w:rPr>
          <w:rFonts w:asciiTheme="minorHAnsi" w:hAnsiTheme="minorHAnsi" w:cstheme="minorHAnsi"/>
        </w:rPr>
      </w:pPr>
    </w:p>
    <w:p w14:paraId="4E2B47FF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3. Violencia, estigmatización y crisis de género</w:t>
      </w:r>
    </w:p>
    <w:p w14:paraId="6D75CF09" w14:textId="77777777" w:rsidR="00AD1ADA" w:rsidRPr="00221534" w:rsidRDefault="00AD1ADA" w:rsidP="0022153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Violencia estructural</w:t>
      </w:r>
      <w:r w:rsidRPr="00221534">
        <w:rPr>
          <w:rFonts w:asciiTheme="minorHAnsi" w:hAnsiTheme="minorHAnsi" w:cstheme="minorHAnsi"/>
        </w:rPr>
        <w:t>: La represión estatal estuvo marcada por racismo y sexismo. Mujeres indígenas con lengua materna originaria sufren niveles más altos de violencia psicológica, física y sexual que las castellanohablantes.</w:t>
      </w:r>
    </w:p>
    <w:p w14:paraId="5B947E75" w14:textId="77777777" w:rsidR="00AD1ADA" w:rsidRPr="00221534" w:rsidRDefault="00AD1ADA" w:rsidP="0022153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Criminalización de los cuidados</w:t>
      </w:r>
      <w:r w:rsidRPr="00221534">
        <w:rPr>
          <w:rFonts w:asciiTheme="minorHAnsi" w:hAnsiTheme="minorHAnsi" w:cstheme="minorHAnsi"/>
        </w:rPr>
        <w:t>: El caso de Yaneth Navarro, profesora encarcelada por gestionar gastos comunitarios, refleja cómo el Estado persiguió la organización femenina bajo estigmas patriarcales y clasistas.</w:t>
      </w:r>
    </w:p>
    <w:p w14:paraId="6AC447CF" w14:textId="77777777" w:rsidR="00AD1ADA" w:rsidRPr="00221534" w:rsidRDefault="00AD1ADA" w:rsidP="0022153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Estigma de “mala madre”</w:t>
      </w:r>
      <w:r w:rsidRPr="00221534">
        <w:rPr>
          <w:rFonts w:asciiTheme="minorHAnsi" w:hAnsiTheme="minorHAnsi" w:cstheme="minorHAnsi"/>
        </w:rPr>
        <w:t>: El discurso oficial buscó deslegitimar a las mujeres por llevar a sus hijos a protestar. El ministro de Educación llegó a calificarlas como “peor que animales”.</w:t>
      </w:r>
    </w:p>
    <w:p w14:paraId="0703D354" w14:textId="77777777" w:rsidR="00AD1ADA" w:rsidRPr="00221534" w:rsidRDefault="00AD1ADA" w:rsidP="00221534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Búsqueda de justicia</w:t>
      </w:r>
      <w:r w:rsidRPr="00221534">
        <w:rPr>
          <w:rFonts w:asciiTheme="minorHAnsi" w:hAnsiTheme="minorHAnsi" w:cstheme="minorHAnsi"/>
        </w:rPr>
        <w:t>: Las mujeres se movilizan activamente para exigir verdad y justicia por los asesinados, retomando una tradición histórica de lucha (ANFASEP en el Conflicto Interno). Sin embargo, enfrentan revictimización y “terruqueo”.</w:t>
      </w:r>
    </w:p>
    <w:p w14:paraId="38CEEC0C" w14:textId="70010B29" w:rsidR="00AD1ADA" w:rsidRDefault="00AD1ADA" w:rsidP="00221534">
      <w:pPr>
        <w:jc w:val="both"/>
        <w:rPr>
          <w:rFonts w:asciiTheme="minorHAnsi" w:hAnsiTheme="minorHAnsi" w:cstheme="minorHAnsi"/>
        </w:rPr>
      </w:pPr>
    </w:p>
    <w:p w14:paraId="73161808" w14:textId="31A4D9BA" w:rsidR="00221534" w:rsidRDefault="00221534" w:rsidP="00221534">
      <w:pPr>
        <w:jc w:val="both"/>
        <w:rPr>
          <w:rFonts w:asciiTheme="minorHAnsi" w:hAnsiTheme="minorHAnsi" w:cstheme="minorHAnsi"/>
        </w:rPr>
      </w:pPr>
    </w:p>
    <w:p w14:paraId="1C4180ED" w14:textId="17FBBB19" w:rsidR="00221534" w:rsidRDefault="00221534" w:rsidP="00221534">
      <w:pPr>
        <w:jc w:val="both"/>
        <w:rPr>
          <w:rFonts w:asciiTheme="minorHAnsi" w:hAnsiTheme="minorHAnsi" w:cstheme="minorHAnsi"/>
        </w:rPr>
      </w:pPr>
    </w:p>
    <w:p w14:paraId="2F456DFF" w14:textId="77777777" w:rsidR="00221534" w:rsidRPr="00221534" w:rsidRDefault="00221534" w:rsidP="00221534">
      <w:pPr>
        <w:jc w:val="both"/>
        <w:rPr>
          <w:rFonts w:asciiTheme="minorHAnsi" w:hAnsiTheme="minorHAnsi" w:cstheme="minorHAnsi"/>
        </w:rPr>
      </w:pPr>
    </w:p>
    <w:p w14:paraId="75425A7A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lastRenderedPageBreak/>
        <w:t>4. La instrumentalización de Dina Boluarte</w:t>
      </w:r>
    </w:p>
    <w:p w14:paraId="0D95FD86" w14:textId="2AA29835" w:rsidR="00AD1ADA" w:rsidRDefault="00AD1ADA" w:rsidP="0022153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Identidad usada como recurso</w:t>
      </w:r>
      <w:r w:rsidRPr="00221534">
        <w:rPr>
          <w:rFonts w:asciiTheme="minorHAnsi" w:hAnsiTheme="minorHAnsi" w:cstheme="minorHAnsi"/>
        </w:rPr>
        <w:t>: Boluarte intentó apelar a su condición de mujer, quechuahablante y provinciana para deslegitimar las protestas, calificándolas de “machistas”.</w:t>
      </w:r>
    </w:p>
    <w:p w14:paraId="3AB5EAE4" w14:textId="77777777" w:rsidR="00221534" w:rsidRPr="00221534" w:rsidRDefault="00221534" w:rsidP="00221534">
      <w:pPr>
        <w:pStyle w:val="NormalWeb"/>
        <w:ind w:left="720"/>
        <w:jc w:val="both"/>
        <w:rPr>
          <w:rFonts w:asciiTheme="minorHAnsi" w:hAnsiTheme="minorHAnsi" w:cstheme="minorHAnsi"/>
        </w:rPr>
      </w:pPr>
    </w:p>
    <w:p w14:paraId="4E2BB341" w14:textId="77777777" w:rsidR="00AD1ADA" w:rsidRPr="00221534" w:rsidRDefault="00AD1ADA" w:rsidP="0022153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Rechazo colectivo</w:t>
      </w:r>
      <w:r w:rsidRPr="00221534">
        <w:rPr>
          <w:rFonts w:asciiTheme="minorHAnsi" w:hAnsiTheme="minorHAnsi" w:cstheme="minorHAnsi"/>
        </w:rPr>
        <w:t>:</w:t>
      </w:r>
    </w:p>
    <w:p w14:paraId="7D889994" w14:textId="77777777" w:rsidR="00AD1ADA" w:rsidRPr="00221534" w:rsidRDefault="00AD1ADA" w:rsidP="00221534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Feministas urbanas y rurales respondieron con fuerza: “No es la primera presidenta mujer, es la primera dictadora del Perú”.</w:t>
      </w:r>
    </w:p>
    <w:p w14:paraId="7C78C237" w14:textId="77777777" w:rsidR="00AD1ADA" w:rsidRPr="00221534" w:rsidRDefault="00AD1ADA" w:rsidP="00221534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Lideresas aimaras denunciaron el retroceso que significaba instrumentalizar a las mujeres en contra de su participación política.</w:t>
      </w:r>
    </w:p>
    <w:p w14:paraId="3FBFB722" w14:textId="77777777" w:rsidR="00AD1ADA" w:rsidRPr="00221534" w:rsidRDefault="00AD1ADA" w:rsidP="00221534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El uso del quechua por parte de Boluarte fue interpretado como paternalista, reforzando jerarquías racistas.</w:t>
      </w:r>
    </w:p>
    <w:p w14:paraId="38E176A2" w14:textId="0DE9EE7E" w:rsidR="00AD1ADA" w:rsidRPr="00221534" w:rsidRDefault="00AD1ADA" w:rsidP="00221534">
      <w:pPr>
        <w:jc w:val="both"/>
        <w:rPr>
          <w:rFonts w:asciiTheme="minorHAnsi" w:hAnsiTheme="minorHAnsi" w:cstheme="minorHAnsi"/>
        </w:rPr>
      </w:pPr>
    </w:p>
    <w:p w14:paraId="3C90F22E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5. Encuentros y desencuentros</w:t>
      </w:r>
    </w:p>
    <w:p w14:paraId="1FA79393" w14:textId="77777777" w:rsidR="00AD1ADA" w:rsidRPr="00221534" w:rsidRDefault="00AD1ADA" w:rsidP="0022153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Fragmentación interna</w:t>
      </w:r>
      <w:r w:rsidRPr="00221534">
        <w:rPr>
          <w:rFonts w:asciiTheme="minorHAnsi" w:hAnsiTheme="minorHAnsi" w:cstheme="minorHAnsi"/>
        </w:rPr>
        <w:t>: En Cusco, organizaciones rurales y feministas urbanas tuvieron dificultades para articular agendas, evidenciado en las tensiones del 8M.</w:t>
      </w:r>
    </w:p>
    <w:p w14:paraId="7AD51F1A" w14:textId="77777777" w:rsidR="00AD1ADA" w:rsidRPr="00221534" w:rsidRDefault="00AD1ADA" w:rsidP="0022153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Tensiones en Lima</w:t>
      </w:r>
      <w:r w:rsidRPr="00221534">
        <w:rPr>
          <w:rFonts w:asciiTheme="minorHAnsi" w:hAnsiTheme="minorHAnsi" w:cstheme="minorHAnsi"/>
        </w:rPr>
        <w:t>: Hubo encuentros incipientes con mujeres de regiones, pero con fricciones por diferencias generacionales y de clase.</w:t>
      </w:r>
    </w:p>
    <w:p w14:paraId="5D172B32" w14:textId="77777777" w:rsidR="00AD1ADA" w:rsidRPr="00221534" w:rsidRDefault="00AD1ADA" w:rsidP="0022153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Exclusiones dentro de la protesta</w:t>
      </w:r>
      <w:r w:rsidRPr="00221534">
        <w:rPr>
          <w:rFonts w:asciiTheme="minorHAnsi" w:hAnsiTheme="minorHAnsi" w:cstheme="minorHAnsi"/>
        </w:rPr>
        <w:t>: En Cusco, colectivos LGTBI desistieron de participar colectivamente por discriminación transfóbica tanto de la policía como de algunos manifestantes.</w:t>
      </w:r>
    </w:p>
    <w:p w14:paraId="5CE0F5A7" w14:textId="5AC9E1D7" w:rsidR="00AD1ADA" w:rsidRPr="00221534" w:rsidRDefault="00AD1ADA" w:rsidP="00221534">
      <w:pPr>
        <w:jc w:val="both"/>
        <w:rPr>
          <w:rFonts w:asciiTheme="minorHAnsi" w:hAnsiTheme="minorHAnsi" w:cstheme="minorHAnsi"/>
        </w:rPr>
      </w:pPr>
    </w:p>
    <w:p w14:paraId="3D3CF55D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6. Clase, economía y contexto estructural</w:t>
      </w:r>
    </w:p>
    <w:p w14:paraId="669DC7A0" w14:textId="77777777" w:rsidR="00AD1ADA" w:rsidRPr="00221534" w:rsidRDefault="00AD1ADA" w:rsidP="0022153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Regiones movilizadas</w:t>
      </w:r>
      <w:r w:rsidRPr="00221534">
        <w:rPr>
          <w:rFonts w:asciiTheme="minorHAnsi" w:hAnsiTheme="minorHAnsi" w:cstheme="minorHAnsi"/>
        </w:rPr>
        <w:t>: Apurímac, Cusco, Ayacucho, Puno y Madre de Dios, marcadas por desigualdad histórica.</w:t>
      </w:r>
    </w:p>
    <w:p w14:paraId="4E0032F8" w14:textId="77777777" w:rsidR="00AD1ADA" w:rsidRPr="00221534" w:rsidRDefault="00AD1ADA" w:rsidP="0022153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Expectativas frustradas</w:t>
      </w:r>
      <w:r w:rsidRPr="00221534">
        <w:rPr>
          <w:rFonts w:asciiTheme="minorHAnsi" w:hAnsiTheme="minorHAnsi" w:cstheme="minorHAnsi"/>
        </w:rPr>
        <w:t>: La caída de Castillo simbolizó la traición de promesas como la Segunda Reforma Agraria, alimentando el malestar.</w:t>
      </w:r>
    </w:p>
    <w:p w14:paraId="78B038DF" w14:textId="77777777" w:rsidR="00AD1ADA" w:rsidRPr="00221534" w:rsidRDefault="00AD1ADA" w:rsidP="0022153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221534">
        <w:rPr>
          <w:rStyle w:val="Textoennegrita"/>
          <w:rFonts w:asciiTheme="minorHAnsi" w:hAnsiTheme="minorHAnsi" w:cstheme="minorHAnsi"/>
        </w:rPr>
        <w:t>Crisis pospandemia</w:t>
      </w:r>
      <w:r w:rsidRPr="00221534">
        <w:rPr>
          <w:rFonts w:asciiTheme="minorHAnsi" w:hAnsiTheme="minorHAnsi" w:cstheme="minorHAnsi"/>
        </w:rPr>
        <w:t>: La pandemia profundizó la precariedad y exclusión en regiones rurales.</w:t>
      </w:r>
    </w:p>
    <w:p w14:paraId="1B82A89E" w14:textId="04A576C4" w:rsidR="00AD1ADA" w:rsidRPr="00221534" w:rsidRDefault="00AD1ADA" w:rsidP="00221534">
      <w:pPr>
        <w:jc w:val="both"/>
        <w:rPr>
          <w:rFonts w:asciiTheme="minorHAnsi" w:hAnsiTheme="minorHAnsi" w:cstheme="minorHAnsi"/>
        </w:rPr>
      </w:pPr>
    </w:p>
    <w:p w14:paraId="7E8B748F" w14:textId="77777777" w:rsidR="00AD1ADA" w:rsidRPr="00221534" w:rsidRDefault="00AD1ADA" w:rsidP="00221534">
      <w:pPr>
        <w:pStyle w:val="Ttulo2"/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7. Conclusiones</w:t>
      </w:r>
    </w:p>
    <w:p w14:paraId="470396DF" w14:textId="77777777" w:rsidR="00AD1ADA" w:rsidRPr="00221534" w:rsidRDefault="00AD1ADA" w:rsidP="0022153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lastRenderedPageBreak/>
        <w:t xml:space="preserve">Las mujeres rurales fueron </w:t>
      </w:r>
      <w:r w:rsidRPr="00221534">
        <w:rPr>
          <w:rStyle w:val="Textoennegrita"/>
          <w:rFonts w:asciiTheme="minorHAnsi" w:hAnsiTheme="minorHAnsi" w:cstheme="minorHAnsi"/>
        </w:rPr>
        <w:t>protagonistas indiscutibles</w:t>
      </w:r>
      <w:r w:rsidRPr="00221534">
        <w:rPr>
          <w:rFonts w:asciiTheme="minorHAnsi" w:hAnsiTheme="minorHAnsi" w:cstheme="minorHAnsi"/>
        </w:rPr>
        <w:t>, no solo acompañantes.</w:t>
      </w:r>
    </w:p>
    <w:p w14:paraId="6FBFCBD7" w14:textId="77777777" w:rsidR="00AD1ADA" w:rsidRPr="00221534" w:rsidRDefault="00AD1ADA" w:rsidP="0022153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 xml:space="preserve">El </w:t>
      </w:r>
      <w:r w:rsidRPr="00221534">
        <w:rPr>
          <w:rStyle w:val="Textoennegrita"/>
          <w:rFonts w:asciiTheme="minorHAnsi" w:hAnsiTheme="minorHAnsi" w:cstheme="minorHAnsi"/>
        </w:rPr>
        <w:t>cuidado</w:t>
      </w:r>
      <w:r w:rsidRPr="00221534">
        <w:rPr>
          <w:rFonts w:asciiTheme="minorHAnsi" w:hAnsiTheme="minorHAnsi" w:cstheme="minorHAnsi"/>
        </w:rPr>
        <w:t xml:space="preserve"> y lo </w:t>
      </w:r>
      <w:r w:rsidRPr="00221534">
        <w:rPr>
          <w:rStyle w:val="Textoennegrita"/>
          <w:rFonts w:asciiTheme="minorHAnsi" w:hAnsiTheme="minorHAnsi" w:cstheme="minorHAnsi"/>
        </w:rPr>
        <w:t>comunitario</w:t>
      </w:r>
      <w:r w:rsidRPr="00221534">
        <w:rPr>
          <w:rFonts w:asciiTheme="minorHAnsi" w:hAnsiTheme="minorHAnsi" w:cstheme="minorHAnsi"/>
        </w:rPr>
        <w:t xml:space="preserve"> emergen como </w:t>
      </w:r>
      <w:r w:rsidRPr="00221534">
        <w:rPr>
          <w:rStyle w:val="Textoennegrita"/>
          <w:rFonts w:asciiTheme="minorHAnsi" w:hAnsiTheme="minorHAnsi" w:cstheme="minorHAnsi"/>
        </w:rPr>
        <w:t>formas legítimas de acción política</w:t>
      </w:r>
      <w:r w:rsidRPr="00221534">
        <w:rPr>
          <w:rFonts w:asciiTheme="minorHAnsi" w:hAnsiTheme="minorHAnsi" w:cstheme="minorHAnsi"/>
        </w:rPr>
        <w:t xml:space="preserve"> que cuestionan la división tradicional público/privado.</w:t>
      </w:r>
    </w:p>
    <w:p w14:paraId="2BFBE75A" w14:textId="77777777" w:rsidR="00AD1ADA" w:rsidRPr="00221534" w:rsidRDefault="00AD1ADA" w:rsidP="0022153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 xml:space="preserve">La represión mostró un </w:t>
      </w:r>
      <w:r w:rsidRPr="00221534">
        <w:rPr>
          <w:rStyle w:val="Textoennegrita"/>
          <w:rFonts w:asciiTheme="minorHAnsi" w:hAnsiTheme="minorHAnsi" w:cstheme="minorHAnsi"/>
        </w:rPr>
        <w:t>Estado racista, clasista y patriarcal</w:t>
      </w:r>
      <w:r w:rsidRPr="00221534">
        <w:rPr>
          <w:rFonts w:asciiTheme="minorHAnsi" w:hAnsiTheme="minorHAnsi" w:cstheme="minorHAnsi"/>
        </w:rPr>
        <w:t>, que criminaliza los cuidados y estigmatiza a las mujeres.</w:t>
      </w:r>
    </w:p>
    <w:p w14:paraId="79E71F10" w14:textId="77777777" w:rsidR="00AD1ADA" w:rsidRPr="00221534" w:rsidRDefault="00AD1ADA" w:rsidP="0022153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221534">
        <w:rPr>
          <w:rFonts w:asciiTheme="minorHAnsi" w:hAnsiTheme="minorHAnsi" w:cstheme="minorHAnsi"/>
        </w:rPr>
        <w:t>El análisis interseccional de género, etnicidad y clase es indispensable para comprender las luchas actuales y proyectar nuevas agendas de investigación: educación, empoderamiento político, justicia intercultural y sistemas de cuidado en organizaciones indígenas.</w:t>
      </w:r>
    </w:p>
    <w:p w14:paraId="354A9865" w14:textId="09C522B3" w:rsidR="004D519C" w:rsidRPr="00221534" w:rsidRDefault="004D519C" w:rsidP="00221534">
      <w:pPr>
        <w:jc w:val="both"/>
        <w:rPr>
          <w:rFonts w:asciiTheme="minorHAnsi" w:hAnsiTheme="minorHAnsi" w:cstheme="minorHAnsi"/>
        </w:rPr>
      </w:pPr>
    </w:p>
    <w:p w14:paraId="6AD0F5DB" w14:textId="77777777" w:rsidR="004D519C" w:rsidRPr="00221534" w:rsidRDefault="004D519C" w:rsidP="00221534">
      <w:pPr>
        <w:jc w:val="both"/>
        <w:rPr>
          <w:rFonts w:asciiTheme="minorHAnsi" w:hAnsiTheme="minorHAnsi" w:cstheme="minorHAnsi"/>
        </w:rPr>
      </w:pPr>
    </w:p>
    <w:sectPr w:rsidR="004D519C" w:rsidRPr="002215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4F6C"/>
    <w:multiLevelType w:val="multilevel"/>
    <w:tmpl w:val="4D9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4FAD"/>
    <w:multiLevelType w:val="multilevel"/>
    <w:tmpl w:val="B6A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1BF4"/>
    <w:multiLevelType w:val="multilevel"/>
    <w:tmpl w:val="2A6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D64FB"/>
    <w:multiLevelType w:val="multilevel"/>
    <w:tmpl w:val="63C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2F7F"/>
    <w:multiLevelType w:val="multilevel"/>
    <w:tmpl w:val="B5B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B7C58"/>
    <w:multiLevelType w:val="multilevel"/>
    <w:tmpl w:val="374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3CDB"/>
    <w:multiLevelType w:val="multilevel"/>
    <w:tmpl w:val="BE2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721C1"/>
    <w:multiLevelType w:val="multilevel"/>
    <w:tmpl w:val="30F8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A7C97"/>
    <w:multiLevelType w:val="multilevel"/>
    <w:tmpl w:val="01C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073D1"/>
    <w:multiLevelType w:val="multilevel"/>
    <w:tmpl w:val="AFB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E24C4"/>
    <w:multiLevelType w:val="multilevel"/>
    <w:tmpl w:val="5DB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0239C"/>
    <w:multiLevelType w:val="multilevel"/>
    <w:tmpl w:val="96A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3"/>
  </w:num>
  <w:num w:numId="8">
    <w:abstractNumId w:val="6"/>
  </w:num>
  <w:num w:numId="9">
    <w:abstractNumId w:val="11"/>
  </w:num>
  <w:num w:numId="10">
    <w:abstractNumId w:val="2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9C"/>
    <w:rsid w:val="00221534"/>
    <w:rsid w:val="004D519C"/>
    <w:rsid w:val="005D6EE1"/>
    <w:rsid w:val="00A97184"/>
    <w:rsid w:val="00AD1ADA"/>
    <w:rsid w:val="00F17822"/>
    <w:rsid w:val="00FE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8FC27"/>
  <w15:chartTrackingRefBased/>
  <w15:docId w15:val="{C7432A64-1EAC-1C4F-9868-F39E358C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ADA"/>
    <w:rPr>
      <w:rFonts w:ascii="Times New Roman" w:eastAsia="Times New Roman" w:hAnsi="Times New Roman" w:cs="Times New Roman"/>
      <w:lang w:eastAsia="es-MX"/>
    </w:rPr>
  </w:style>
  <w:style w:type="paragraph" w:styleId="Ttulo2">
    <w:name w:val="heading 2"/>
    <w:basedOn w:val="Normal"/>
    <w:link w:val="Ttulo2Car"/>
    <w:uiPriority w:val="9"/>
    <w:qFormat/>
    <w:rsid w:val="004D519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4D519C"/>
    <w:rPr>
      <w:i/>
      <w:iCs/>
    </w:rPr>
  </w:style>
  <w:style w:type="character" w:styleId="Textoennegrita">
    <w:name w:val="Strong"/>
    <w:basedOn w:val="Fuentedeprrafopredeter"/>
    <w:uiPriority w:val="22"/>
    <w:qFormat/>
    <w:rsid w:val="004D519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4D519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unhideWhenUsed/>
    <w:rsid w:val="004D51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870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2025-10-26T23:31:00Z</dcterms:created>
  <dcterms:modified xsi:type="dcterms:W3CDTF">2025-10-28T15:59:00Z</dcterms:modified>
</cp:coreProperties>
</file>