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EDT PARA INICIALIZAR EL ERS</w:t>
        <w:br/>
        <w:t>AurelIA - Gold Fields II</w:t>
      </w:r>
    </w:p>
    <w:p>
      <w:pPr>
        <w:jc w:val="center"/>
      </w:pPr>
      <w:r>
        <w:rPr>
          <w:i/>
          <w:sz w:val="24"/>
        </w:rPr>
        <w:t>Estructura de Desglose Técnico, contexto funcional, arquitectura, módulos, ERD segmentados y forma de trabajo asistida por IA</w:t>
      </w:r>
    </w:p>
    <w:p>
      <w:pPr>
        <w:jc w:val="center"/>
      </w:pPr>
      <w:r>
        <w:rPr>
          <w:sz w:val="20"/>
        </w:rPr>
        <w:t>Versión 0.1 - Documento base para equipo de desarrollo, diseño e integración</w:t>
      </w:r>
    </w:p>
    <w:p/>
    <w:tbl>
      <w:tblPr>
        <w:tblStyle w:val="TableGrid"/>
        <w:tblW w:type="auto" w:w="0"/>
        <w:tblLook w:firstColumn="1" w:firstRow="1" w:lastColumn="0" w:lastRow="0" w:noHBand="0" w:noVBand="1" w:val="04A0"/>
      </w:tblPr>
      <w:tblGrid>
        <w:gridCol w:w="10656"/>
      </w:tblGrid>
      <w:tr>
        <w:tc>
          <w:tcPr>
            <w:tcW w:type="dxa" w:w="10656"/>
            <w:shd w:fill="EAF2F8"/>
          </w:tcPr>
          <w:p>
            <w:r/>
            <w:r>
              <w:rPr>
                <w:b/>
                <w:sz w:val="18"/>
              </w:rPr>
              <w:t xml:space="preserve">Propósito: </w:t>
            </w:r>
            <w:r>
              <w:rPr>
                <w:sz w:val="18"/>
              </w:rPr>
              <w:t>Este documento no reemplaza al ERS final. Su objetivo es dar una estructura sólida para escribirlo, alinear al equipo y estandarizar cómo se debe pedir trabajo a agentes de IA, Figma Make, backend, frontend y QA.</w:t>
            </w:r>
          </w:p>
        </w:tc>
      </w:tr>
    </w:tbl>
    <w:p/>
    <w:tbl>
      <w:tblPr>
        <w:tblStyle w:val="TableGrid"/>
        <w:tblW w:type="auto" w:w="0"/>
        <w:jc w:val="center"/>
        <w:tblLook w:firstColumn="1" w:firstRow="1" w:lastColumn="0" w:lastRow="0" w:noHBand="0" w:noVBand="1" w:val="04A0"/>
      </w:tblPr>
      <w:tblGrid>
        <w:gridCol w:w="5328"/>
        <w:gridCol w:w="5328"/>
      </w:tblGrid>
      <w:tr>
        <w:tc>
          <w:tcPr>
            <w:tcW w:type="dxa" w:w="2592"/>
            <w:vAlign w:val="top"/>
            <w:shd w:fill="1F4E79"/>
          </w:tcPr>
          <w:p>
            <w:pPr>
              <w:jc w:val="left"/>
            </w:pPr>
            <w:r/>
            <w:r>
              <w:rPr>
                <w:b/>
                <w:color w:val="FFFFFF"/>
                <w:sz w:val="17"/>
              </w:rPr>
              <w:t>Campo</w:t>
            </w:r>
          </w:p>
        </w:tc>
        <w:tc>
          <w:tcPr>
            <w:tcW w:type="dxa" w:w="8208"/>
            <w:vAlign w:val="top"/>
            <w:shd w:fill="1F4E79"/>
          </w:tcPr>
          <w:p>
            <w:pPr>
              <w:jc w:val="left"/>
            </w:pPr>
            <w:r/>
            <w:r>
              <w:rPr>
                <w:b/>
                <w:color w:val="FFFFFF"/>
                <w:sz w:val="17"/>
              </w:rPr>
              <w:t>Valor</w:t>
            </w:r>
          </w:p>
        </w:tc>
      </w:tr>
      <w:tr>
        <w:tc>
          <w:tcPr>
            <w:tcW w:type="dxa" w:w="2592"/>
            <w:vAlign w:val="top"/>
          </w:tcPr>
          <w:p>
            <w:pPr>
              <w:jc w:val="left"/>
            </w:pPr>
            <w:r/>
            <w:r>
              <w:rPr>
                <w:b w:val="0"/>
                <w:sz w:val="17"/>
              </w:rPr>
              <w:t>Proyecto</w:t>
            </w:r>
          </w:p>
        </w:tc>
        <w:tc>
          <w:tcPr>
            <w:tcW w:type="dxa" w:w="8208"/>
            <w:vAlign w:val="top"/>
          </w:tcPr>
          <w:p>
            <w:pPr>
              <w:jc w:val="left"/>
            </w:pPr>
            <w:r/>
            <w:r>
              <w:rPr>
                <w:b w:val="0"/>
                <w:sz w:val="17"/>
              </w:rPr>
              <w:t>AurelIA / Gold Fields II</w:t>
            </w:r>
          </w:p>
        </w:tc>
      </w:tr>
      <w:tr>
        <w:tc>
          <w:tcPr>
            <w:tcW w:type="dxa" w:w="2592"/>
            <w:vAlign w:val="top"/>
          </w:tcPr>
          <w:p>
            <w:pPr>
              <w:jc w:val="left"/>
            </w:pPr>
            <w:r/>
            <w:r>
              <w:rPr>
                <w:b w:val="0"/>
                <w:sz w:val="17"/>
              </w:rPr>
              <w:t>Tipo de documento</w:t>
            </w:r>
          </w:p>
        </w:tc>
        <w:tc>
          <w:tcPr>
            <w:tcW w:type="dxa" w:w="8208"/>
            <w:vAlign w:val="top"/>
          </w:tcPr>
          <w:p>
            <w:pPr>
              <w:jc w:val="left"/>
            </w:pPr>
            <w:r/>
            <w:r>
              <w:rPr>
                <w:b w:val="0"/>
                <w:sz w:val="17"/>
              </w:rPr>
              <w:t>EDT para construcción del ERS y guía operativa de iteración con IA</w:t>
            </w:r>
          </w:p>
        </w:tc>
      </w:tr>
      <w:tr>
        <w:tc>
          <w:tcPr>
            <w:tcW w:type="dxa" w:w="2592"/>
            <w:vAlign w:val="top"/>
          </w:tcPr>
          <w:p>
            <w:pPr>
              <w:jc w:val="left"/>
            </w:pPr>
            <w:r/>
            <w:r>
              <w:rPr>
                <w:b w:val="0"/>
                <w:sz w:val="17"/>
              </w:rPr>
              <w:t>Audiencia</w:t>
            </w:r>
          </w:p>
        </w:tc>
        <w:tc>
          <w:tcPr>
            <w:tcW w:type="dxa" w:w="8208"/>
            <w:vAlign w:val="top"/>
          </w:tcPr>
          <w:p>
            <w:pPr>
              <w:jc w:val="left"/>
            </w:pPr>
            <w:r/>
            <w:r>
              <w:rPr>
                <w:b w:val="0"/>
                <w:sz w:val="17"/>
              </w:rPr>
              <w:t>Equipo de desarrollo, diseño UX/UI, QA, arquitectura y líderes técnicos</w:t>
            </w:r>
          </w:p>
        </w:tc>
      </w:tr>
      <w:tr>
        <w:tc>
          <w:tcPr>
            <w:tcW w:type="dxa" w:w="2592"/>
            <w:vAlign w:val="top"/>
          </w:tcPr>
          <w:p>
            <w:pPr>
              <w:jc w:val="left"/>
            </w:pPr>
            <w:r/>
            <w:r>
              <w:rPr>
                <w:b w:val="0"/>
                <w:sz w:val="17"/>
              </w:rPr>
              <w:t>Base técnica</w:t>
            </w:r>
          </w:p>
        </w:tc>
        <w:tc>
          <w:tcPr>
            <w:tcW w:type="dxa" w:w="8208"/>
            <w:vAlign w:val="top"/>
          </w:tcPr>
          <w:p>
            <w:pPr>
              <w:spacing w:after="0"/>
              <w:jc w:val="left"/>
            </w:pPr>
            <w:r/>
            <w:r>
              <w:rPr>
                <w:b w:val="0"/>
                <w:sz w:val="17"/>
              </w:rPr>
              <w:t>Monorepo pnpm workspaces + Turborepo, NestJS, TypeORM, PostgreSQL, React/Vite, Expo, @aurelia/contracts</w:t>
            </w:r>
          </w:p>
        </w:tc>
      </w:tr>
      <w:tr>
        <w:tc>
          <w:tcPr>
            <w:tcW w:type="dxa" w:w="2592"/>
            <w:vAlign w:val="top"/>
          </w:tcPr>
          <w:p>
            <w:pPr>
              <w:jc w:val="left"/>
            </w:pPr>
            <w:r/>
            <w:r>
              <w:rPr>
                <w:b w:val="0"/>
                <w:sz w:val="17"/>
              </w:rPr>
              <w:t>Enfoque</w:t>
            </w:r>
          </w:p>
        </w:tc>
        <w:tc>
          <w:tcPr>
            <w:tcW w:type="dxa" w:w="8208"/>
            <w:vAlign w:val="top"/>
          </w:tcPr>
          <w:p>
            <w:pPr>
              <w:spacing w:after="0"/>
              <w:jc w:val="left"/>
            </w:pPr>
            <w:r/>
            <w:r>
              <w:rPr>
                <w:b w:val="0"/>
                <w:sz w:val="17"/>
              </w:rPr>
              <w:t>Construcción incremental sobre contratos compartidos, entidades transversales, workflows, evidencias, dashboards y módulos ambientales</w:t>
            </w:r>
          </w:p>
        </w:tc>
      </w:tr>
    </w:tbl>
    <w:p/>
    <w:p>
      <w:r>
        <w:br w:type="page"/>
      </w:r>
    </w:p>
    <w:p>
      <w:pPr>
        <w:pStyle w:val="Heading1"/>
      </w:pPr>
      <w:r>
        <w:t>Índice ejecutivo</w:t>
      </w:r>
    </w:p>
    <w:p>
      <w:pPr>
        <w:pStyle w:val="ListBullet"/>
        <w:spacing w:after="20"/>
      </w:pPr>
      <w:r>
        <w:rPr>
          <w:sz w:val="20"/>
        </w:rPr>
        <w:t>1. Propósito del EDT y relación con el ERS</w:t>
      </w:r>
    </w:p>
    <w:p>
      <w:pPr>
        <w:pStyle w:val="ListBullet"/>
        <w:spacing w:after="20"/>
      </w:pPr>
      <w:r>
        <w:rPr>
          <w:sz w:val="20"/>
        </w:rPr>
        <w:t>2. Contexto funcional de AurelIA</w:t>
      </w:r>
    </w:p>
    <w:p>
      <w:pPr>
        <w:pStyle w:val="ListBullet"/>
        <w:spacing w:after="20"/>
      </w:pPr>
      <w:r>
        <w:rPr>
          <w:sz w:val="20"/>
        </w:rPr>
        <w:t>3. Decisiones arquitectónicas obligatorias</w:t>
      </w:r>
    </w:p>
    <w:p>
      <w:pPr>
        <w:pStyle w:val="ListBullet"/>
        <w:spacing w:after="20"/>
      </w:pPr>
      <w:r>
        <w:rPr>
          <w:sz w:val="20"/>
        </w:rPr>
        <w:t>4. Mapa de aplicaciones y paquetes del monorepo</w:t>
      </w:r>
    </w:p>
    <w:p>
      <w:pPr>
        <w:pStyle w:val="ListBullet"/>
        <w:spacing w:after="20"/>
      </w:pPr>
      <w:r>
        <w:rPr>
          <w:sz w:val="20"/>
        </w:rPr>
        <w:t>5. Alcance modular del sistema</w:t>
      </w:r>
    </w:p>
    <w:p>
      <w:pPr>
        <w:pStyle w:val="ListBullet"/>
        <w:spacing w:after="20"/>
      </w:pPr>
      <w:r>
        <w:rPr>
          <w:sz w:val="20"/>
        </w:rPr>
        <w:t>6. EDT del proyecto y entregables esperados</w:t>
      </w:r>
    </w:p>
    <w:p>
      <w:pPr>
        <w:pStyle w:val="ListBullet"/>
        <w:spacing w:after="20"/>
      </w:pPr>
      <w:r>
        <w:rPr>
          <w:sz w:val="20"/>
        </w:rPr>
        <w:t>7. ERD segmentados para comprensión del dominio</w:t>
      </w:r>
    </w:p>
    <w:p>
      <w:pPr>
        <w:pStyle w:val="ListBullet"/>
        <w:spacing w:after="20"/>
      </w:pPr>
      <w:r>
        <w:rPr>
          <w:sz w:val="20"/>
        </w:rPr>
        <w:t>8. Playbook de trabajo asistido por IA</w:t>
      </w:r>
    </w:p>
    <w:p>
      <w:pPr>
        <w:pStyle w:val="ListBullet"/>
        <w:spacing w:after="20"/>
      </w:pPr>
      <w:r>
        <w:rPr>
          <w:sz w:val="20"/>
        </w:rPr>
        <w:t>9. Matriz de documentos .md que debe leer cada solicitud</w:t>
      </w:r>
    </w:p>
    <w:p>
      <w:pPr>
        <w:pStyle w:val="ListBullet"/>
        <w:spacing w:after="20"/>
      </w:pPr>
      <w:r>
        <w:rPr>
          <w:sz w:val="20"/>
        </w:rPr>
        <w:t>10. Plantillas de prompts por tipo de tarea</w:t>
      </w:r>
    </w:p>
    <w:p>
      <w:pPr>
        <w:pStyle w:val="ListBullet"/>
        <w:spacing w:after="20"/>
      </w:pPr>
      <w:r>
        <w:rPr>
          <w:sz w:val="20"/>
        </w:rPr>
        <w:t>11. Secuencias de validación y comandos</w:t>
      </w:r>
    </w:p>
    <w:p>
      <w:pPr>
        <w:pStyle w:val="ListBullet"/>
        <w:spacing w:after="20"/>
      </w:pPr>
      <w:r>
        <w:rPr>
          <w:sz w:val="20"/>
        </w:rPr>
        <w:t>12. Definition of Done por tipo de cambio</w:t>
      </w:r>
    </w:p>
    <w:p>
      <w:pPr>
        <w:pStyle w:val="ListBullet"/>
        <w:spacing w:after="20"/>
      </w:pPr>
      <w:r>
        <w:rPr>
          <w:sz w:val="20"/>
        </w:rPr>
        <w:t>13. Riesgos, decisiones abiertas y recomendaciones</w:t>
      </w:r>
    </w:p>
    <w:p>
      <w:pPr>
        <w:pStyle w:val="ListBullet"/>
        <w:spacing w:after="20"/>
      </w:pPr>
      <w:r>
        <w:rPr>
          <w:sz w:val="20"/>
        </w:rPr>
        <w:t>14. Anexos: fuentes, Mermaid snippets y checklist operativo</w:t>
      </w:r>
    </w:p>
    <w:p>
      <w:pPr>
        <w:pStyle w:val="Heading1"/>
      </w:pPr>
      <w:r>
        <w:t>1. Propósito del EDT y relación con el ERS</w:t>
      </w:r>
    </w:p>
    <w:p>
      <w:r>
        <w:t>Este EDT organiza el contenido que debería contener el ERS de AurelIA y define una forma de trabajo para que el equipo pueda iterar con IA sin perder coherencia arquitectónica. El foco no es solo documentar funcionalidades, sino también dejar claro cómo se deben solicitar, validar e integrar cambios en un monorepo con contratos compartidos, backend modular y frontends web/móviles desacoplados.</w:t>
      </w:r>
    </w:p>
    <w:tbl>
      <w:tblPr>
        <w:tblStyle w:val="TableGrid"/>
        <w:tblW w:type="auto" w:w="0"/>
        <w:jc w:val="center"/>
        <w:tblLook w:firstColumn="1" w:firstRow="1" w:lastColumn="0" w:lastRow="0" w:noHBand="0" w:noVBand="1" w:val="04A0"/>
      </w:tblPr>
      <w:tblGrid>
        <w:gridCol w:w="5328"/>
        <w:gridCol w:w="5328"/>
      </w:tblGrid>
      <w:tr>
        <w:tc>
          <w:tcPr>
            <w:tcW w:type="dxa" w:w="2592"/>
            <w:vAlign w:val="top"/>
            <w:shd w:fill="1F4E79"/>
          </w:tcPr>
          <w:p>
            <w:pPr>
              <w:jc w:val="left"/>
            </w:pPr>
            <w:r/>
            <w:r>
              <w:rPr>
                <w:b/>
                <w:color w:val="FFFFFF"/>
                <w:sz w:val="16"/>
              </w:rPr>
              <w:t>Objetivo</w:t>
            </w:r>
          </w:p>
        </w:tc>
        <w:tc>
          <w:tcPr>
            <w:tcW w:type="dxa" w:w="8208"/>
            <w:vAlign w:val="top"/>
            <w:shd w:fill="1F4E79"/>
          </w:tcPr>
          <w:p>
            <w:pPr>
              <w:jc w:val="left"/>
            </w:pPr>
            <w:r/>
            <w:r>
              <w:rPr>
                <w:b/>
                <w:color w:val="FFFFFF"/>
                <w:sz w:val="16"/>
              </w:rPr>
              <w:t>Qué debe resolver</w:t>
            </w:r>
          </w:p>
        </w:tc>
      </w:tr>
      <w:tr>
        <w:tc>
          <w:tcPr>
            <w:tcW w:type="dxa" w:w="2592"/>
            <w:vAlign w:val="top"/>
          </w:tcPr>
          <w:p>
            <w:pPr>
              <w:jc w:val="left"/>
            </w:pPr>
            <w:r/>
            <w:r>
              <w:rPr>
                <w:b w:val="0"/>
                <w:sz w:val="16"/>
              </w:rPr>
              <w:t>Alinear contexto</w:t>
            </w:r>
          </w:p>
        </w:tc>
        <w:tc>
          <w:tcPr>
            <w:tcW w:type="dxa" w:w="8208"/>
            <w:vAlign w:val="top"/>
          </w:tcPr>
          <w:p>
            <w:pPr>
              <w:spacing w:after="0"/>
              <w:jc w:val="left"/>
            </w:pPr>
            <w:r/>
            <w:r>
              <w:rPr>
                <w:b w:val="0"/>
                <w:sz w:val="16"/>
              </w:rPr>
              <w:t>Que cualquier desarrollador entienda qué es AurelIA, qué módulos existen y cómo se relacionan.</w:t>
            </w:r>
          </w:p>
        </w:tc>
      </w:tr>
      <w:tr>
        <w:tc>
          <w:tcPr>
            <w:tcW w:type="dxa" w:w="2592"/>
            <w:vAlign w:val="top"/>
          </w:tcPr>
          <w:p>
            <w:pPr>
              <w:jc w:val="left"/>
            </w:pPr>
            <w:r/>
            <w:r>
              <w:rPr>
                <w:b w:val="0"/>
                <w:sz w:val="16"/>
              </w:rPr>
              <w:t>Definir arquitectura de trabajo</w:t>
            </w:r>
          </w:p>
        </w:tc>
        <w:tc>
          <w:tcPr>
            <w:tcW w:type="dxa" w:w="8208"/>
            <w:vAlign w:val="top"/>
          </w:tcPr>
          <w:p>
            <w:pPr>
              <w:spacing w:after="0"/>
              <w:jc w:val="left"/>
            </w:pPr>
            <w:r/>
            <w:r>
              <w:rPr>
                <w:b w:val="0"/>
                <w:sz w:val="16"/>
              </w:rPr>
              <w:t>Explicar por qué se usa monorepo, @aurelia/contracts, TypeORM, PostgreSQL, servicios por dominio y módulos independientes.</w:t>
            </w:r>
          </w:p>
        </w:tc>
      </w:tr>
      <w:tr>
        <w:tc>
          <w:tcPr>
            <w:tcW w:type="dxa" w:w="2592"/>
            <w:vAlign w:val="top"/>
          </w:tcPr>
          <w:p>
            <w:pPr>
              <w:jc w:val="left"/>
            </w:pPr>
            <w:r/>
            <w:r>
              <w:rPr>
                <w:b w:val="0"/>
                <w:sz w:val="16"/>
              </w:rPr>
              <w:t>Guiar iteración con IA</w:t>
            </w:r>
          </w:p>
        </w:tc>
        <w:tc>
          <w:tcPr>
            <w:tcW w:type="dxa" w:w="8208"/>
            <w:vAlign w:val="top"/>
          </w:tcPr>
          <w:p>
            <w:pPr>
              <w:spacing w:after="0"/>
              <w:jc w:val="left"/>
            </w:pPr>
            <w:r/>
            <w:r>
              <w:rPr>
                <w:b w:val="0"/>
                <w:sz w:val="16"/>
              </w:rPr>
              <w:t>Indicar qué documentos leer, cómo formular prompts, qué restricciones aplicar y qué comandos ejecutar antes de entregar.</w:t>
            </w:r>
          </w:p>
        </w:tc>
      </w:tr>
      <w:tr>
        <w:tc>
          <w:tcPr>
            <w:tcW w:type="dxa" w:w="2592"/>
            <w:vAlign w:val="top"/>
          </w:tcPr>
          <w:p>
            <w:pPr>
              <w:jc w:val="left"/>
            </w:pPr>
            <w:r/>
            <w:r>
              <w:rPr>
                <w:b w:val="0"/>
                <w:sz w:val="16"/>
              </w:rPr>
              <w:t>Preparar el ERS</w:t>
            </w:r>
          </w:p>
        </w:tc>
        <w:tc>
          <w:tcPr>
            <w:tcW w:type="dxa" w:w="8208"/>
            <w:vAlign w:val="top"/>
          </w:tcPr>
          <w:p>
            <w:pPr>
              <w:spacing w:after="0"/>
              <w:jc w:val="left"/>
            </w:pPr>
            <w:r/>
            <w:r>
              <w:rPr>
                <w:b w:val="0"/>
                <w:sz w:val="16"/>
              </w:rPr>
              <w:t>Servir como esqueleto para el ERS formal: alcance, actores, requerimientos, datos, integraciones, reglas y criterios de aceptación.</w:t>
            </w:r>
          </w:p>
        </w:tc>
      </w:tr>
      <w:tr>
        <w:tc>
          <w:tcPr>
            <w:tcW w:type="dxa" w:w="2592"/>
            <w:vAlign w:val="top"/>
          </w:tcPr>
          <w:p>
            <w:pPr>
              <w:jc w:val="left"/>
            </w:pPr>
            <w:r/>
            <w:r>
              <w:rPr>
                <w:b w:val="0"/>
                <w:sz w:val="16"/>
              </w:rPr>
              <w:t>Evitar deuda temprana</w:t>
            </w:r>
          </w:p>
        </w:tc>
        <w:tc>
          <w:tcPr>
            <w:tcW w:type="dxa" w:w="8208"/>
            <w:vAlign w:val="top"/>
          </w:tcPr>
          <w:p>
            <w:pPr>
              <w:spacing w:after="0"/>
              <w:jc w:val="left"/>
            </w:pPr>
            <w:r/>
            <w:r>
              <w:rPr>
                <w:b w:val="0"/>
                <w:sz w:val="16"/>
              </w:rPr>
              <w:t>Prevenir duplicación de tipos, componentes no responsivos, entidades acopladas al frontend, migraciones inconsistentes y prompts ambiguos.</w:t>
            </w:r>
          </w:p>
        </w:tc>
      </w:tr>
    </w:tbl>
    <w:p/>
    <w:tbl>
      <w:tblPr>
        <w:tblStyle w:val="TableGrid"/>
        <w:tblW w:type="auto" w:w="0"/>
        <w:tblLook w:firstColumn="1" w:firstRow="1" w:lastColumn="0" w:lastRow="0" w:noHBand="0" w:noVBand="1" w:val="04A0"/>
      </w:tblPr>
      <w:tblGrid>
        <w:gridCol w:w="10656"/>
      </w:tblGrid>
      <w:tr>
        <w:tc>
          <w:tcPr>
            <w:tcW w:type="dxa" w:w="10656"/>
            <w:shd w:fill="EAF2F8"/>
          </w:tcPr>
          <w:p>
            <w:r/>
            <w:r>
              <w:rPr>
                <w:b/>
                <w:sz w:val="18"/>
              </w:rPr>
              <w:t xml:space="preserve">Criterio rector: </w:t>
            </w:r>
            <w:r>
              <w:rPr>
                <w:sz w:val="18"/>
              </w:rPr>
              <w:t>Aunque algunas fases estén avanzando en paralelo, el ERS debe mantener una separación clara entre base transversal, módulos operativos, reportabilidad, dominios regulatorios e IA. La IA debe acelerar la implementación, no saltarse contratos, pruebas ni validación de arquitectura.</w:t>
            </w:r>
          </w:p>
        </w:tc>
      </w:tr>
    </w:tbl>
    <w:p/>
    <w:p>
      <w:pPr>
        <w:pStyle w:val="Heading1"/>
      </w:pPr>
      <w:r>
        <w:t>2. Contexto funcional de AurelIA</w:t>
      </w:r>
    </w:p>
    <w:p>
      <w:r>
        <w:t>AurelIA es una plataforma ambiental centralizada para la gestión de controles críticos, inspecciones, incidentes, evidencias, flujos de aprobación, reportabilidad, alertas y asistencia con IA. La plataforma combina una web central por roles, aplicaciones móviles de terreno y una API común con base de datos transaccional.</w:t>
      </w:r>
    </w:p>
    <w:tbl>
      <w:tblPr>
        <w:tblStyle w:val="TableGrid"/>
        <w:tblW w:type="auto" w:w="0"/>
        <w:jc w:val="center"/>
        <w:tblLook w:firstColumn="1" w:firstRow="1" w:lastColumn="0" w:lastRow="0" w:noHBand="0" w:noVBand="1" w:val="04A0"/>
      </w:tblPr>
      <w:tblGrid>
        <w:gridCol w:w="3552"/>
        <w:gridCol w:w="3552"/>
        <w:gridCol w:w="3552"/>
      </w:tblGrid>
      <w:tr>
        <w:tc>
          <w:tcPr>
            <w:tcW w:type="dxa" w:w="2088"/>
            <w:vAlign w:val="top"/>
            <w:shd w:fill="1F4E79"/>
          </w:tcPr>
          <w:p>
            <w:pPr>
              <w:jc w:val="left"/>
            </w:pPr>
            <w:r/>
            <w:r>
              <w:rPr>
                <w:b/>
                <w:color w:val="FFFFFF"/>
                <w:sz w:val="16"/>
              </w:rPr>
              <w:t>Dominio</w:t>
            </w:r>
          </w:p>
        </w:tc>
        <w:tc>
          <w:tcPr>
            <w:tcW w:type="dxa" w:w="4464"/>
            <w:vAlign w:val="top"/>
            <w:shd w:fill="1F4E79"/>
          </w:tcPr>
          <w:p>
            <w:pPr>
              <w:jc w:val="left"/>
            </w:pPr>
            <w:r/>
            <w:r>
              <w:rPr>
                <w:b/>
                <w:color w:val="FFFFFF"/>
                <w:sz w:val="16"/>
              </w:rPr>
              <w:t>Descripción</w:t>
            </w:r>
          </w:p>
        </w:tc>
        <w:tc>
          <w:tcPr>
            <w:tcW w:type="dxa" w:w="4104"/>
            <w:vAlign w:val="top"/>
            <w:shd w:fill="1F4E79"/>
          </w:tcPr>
          <w:p>
            <w:pPr>
              <w:jc w:val="left"/>
            </w:pPr>
            <w:r/>
            <w:r>
              <w:rPr>
                <w:b/>
                <w:color w:val="FFFFFF"/>
                <w:sz w:val="16"/>
              </w:rPr>
              <w:t>Resultado esperado</w:t>
            </w:r>
          </w:p>
        </w:tc>
      </w:tr>
      <w:tr>
        <w:tc>
          <w:tcPr>
            <w:tcW w:type="dxa" w:w="2088"/>
            <w:vAlign w:val="top"/>
          </w:tcPr>
          <w:p>
            <w:pPr>
              <w:jc w:val="left"/>
            </w:pPr>
            <w:r/>
            <w:r>
              <w:rPr>
                <w:b w:val="0"/>
                <w:sz w:val="16"/>
              </w:rPr>
              <w:t>Inspecciones ambientales</w:t>
            </w:r>
          </w:p>
        </w:tc>
        <w:tc>
          <w:tcPr>
            <w:tcW w:type="dxa" w:w="4464"/>
            <w:vAlign w:val="top"/>
          </w:tcPr>
          <w:p>
            <w:pPr>
              <w:spacing w:after="0"/>
              <w:jc w:val="left"/>
            </w:pPr>
            <w:r/>
            <w:r>
              <w:rPr>
                <w:b w:val="0"/>
                <w:sz w:val="16"/>
              </w:rPr>
              <w:t>Gestión de inspecciones, hallazgos, seguimientos S1/S2/S3, evidencias, cierre y exportación PDF.</w:t>
            </w:r>
          </w:p>
        </w:tc>
        <w:tc>
          <w:tcPr>
            <w:tcW w:type="dxa" w:w="4104"/>
            <w:vAlign w:val="top"/>
          </w:tcPr>
          <w:p>
            <w:pPr>
              <w:jc w:val="left"/>
            </w:pPr>
            <w:r/>
            <w:r>
              <w:rPr>
                <w:b w:val="0"/>
                <w:sz w:val="16"/>
              </w:rPr>
              <w:t>Trazabilidad end-to-end desde registro hasta cierre verificado.</w:t>
            </w:r>
          </w:p>
        </w:tc>
      </w:tr>
      <w:tr>
        <w:tc>
          <w:tcPr>
            <w:tcW w:type="dxa" w:w="2088"/>
            <w:vAlign w:val="top"/>
          </w:tcPr>
          <w:p>
            <w:pPr>
              <w:jc w:val="left"/>
            </w:pPr>
            <w:r/>
            <w:r>
              <w:rPr>
                <w:b w:val="0"/>
                <w:sz w:val="16"/>
              </w:rPr>
              <w:t>Incidentes ambientales</w:t>
            </w:r>
          </w:p>
        </w:tc>
        <w:tc>
          <w:tcPr>
            <w:tcW w:type="dxa" w:w="4464"/>
            <w:vAlign w:val="top"/>
          </w:tcPr>
          <w:p>
            <w:pPr>
              <w:spacing w:after="0"/>
              <w:jc w:val="left"/>
            </w:pPr>
            <w:r/>
            <w:r>
              <w:rPr>
                <w:b w:val="0"/>
                <w:sz w:val="16"/>
              </w:rPr>
              <w:t>Registro de incidente, Flash Report, clasificación nivel 0-5, SLA, validación, acciones inmediatas, ICAM/5 Por Qué y cierre.</w:t>
            </w:r>
          </w:p>
        </w:tc>
        <w:tc>
          <w:tcPr>
            <w:tcW w:type="dxa" w:w="4104"/>
            <w:vAlign w:val="top"/>
          </w:tcPr>
          <w:p>
            <w:pPr>
              <w:jc w:val="left"/>
            </w:pPr>
            <w:r/>
            <w:r>
              <w:rPr>
                <w:b w:val="0"/>
                <w:sz w:val="16"/>
              </w:rPr>
              <w:t>Gestión controlada de incidentes con dashboard y difusión.</w:t>
            </w:r>
          </w:p>
        </w:tc>
      </w:tr>
      <w:tr>
        <w:tc>
          <w:tcPr>
            <w:tcW w:type="dxa" w:w="2088"/>
            <w:vAlign w:val="top"/>
          </w:tcPr>
          <w:p>
            <w:pPr>
              <w:jc w:val="left"/>
            </w:pPr>
            <w:r/>
            <w:r>
              <w:rPr>
                <w:b w:val="0"/>
                <w:sz w:val="16"/>
              </w:rPr>
              <w:t>MUE y controles críticos</w:t>
            </w:r>
          </w:p>
        </w:tc>
        <w:tc>
          <w:tcPr>
            <w:tcW w:type="dxa" w:w="4464"/>
            <w:vAlign w:val="top"/>
          </w:tcPr>
          <w:p>
            <w:pPr>
              <w:spacing w:after="0"/>
              <w:jc w:val="left"/>
            </w:pPr>
            <w:r/>
            <w:r>
              <w:rPr>
                <w:b w:val="0"/>
                <w:sz w:val="16"/>
              </w:rPr>
              <w:t>MUE1-MUE6, controles críticos, ítems de verificación, autoevaluaciones, responsables y evidencias.</w:t>
            </w:r>
          </w:p>
        </w:tc>
        <w:tc>
          <w:tcPr>
            <w:tcW w:type="dxa" w:w="4104"/>
            <w:vAlign w:val="top"/>
          </w:tcPr>
          <w:p>
            <w:pPr>
              <w:jc w:val="left"/>
            </w:pPr>
            <w:r/>
            <w:r>
              <w:rPr>
                <w:b w:val="0"/>
                <w:sz w:val="16"/>
              </w:rPr>
              <w:t>Monitoreo de cumplimiento por área, MUE y responsable.</w:t>
            </w:r>
          </w:p>
        </w:tc>
      </w:tr>
      <w:tr>
        <w:tc>
          <w:tcPr>
            <w:tcW w:type="dxa" w:w="2088"/>
            <w:vAlign w:val="top"/>
          </w:tcPr>
          <w:p>
            <w:pPr>
              <w:jc w:val="left"/>
            </w:pPr>
            <w:r/>
            <w:r>
              <w:rPr>
                <w:b w:val="0"/>
                <w:sz w:val="16"/>
              </w:rPr>
              <w:t>SPR</w:t>
            </w:r>
          </w:p>
        </w:tc>
        <w:tc>
          <w:tcPr>
            <w:tcW w:type="dxa" w:w="4464"/>
            <w:vAlign w:val="top"/>
          </w:tcPr>
          <w:p>
            <w:pPr>
              <w:spacing w:after="0"/>
              <w:jc w:val="left"/>
            </w:pPr>
            <w:r/>
            <w:r>
              <w:rPr>
                <w:b w:val="0"/>
                <w:sz w:val="16"/>
              </w:rPr>
              <w:t>Reporte mensual de parámetros ambientales/operacionales, evidencias SOX, aprobaciones y consolidación.</w:t>
            </w:r>
          </w:p>
        </w:tc>
        <w:tc>
          <w:tcPr>
            <w:tcW w:type="dxa" w:w="4104"/>
            <w:vAlign w:val="top"/>
          </w:tcPr>
          <w:p>
            <w:pPr>
              <w:jc w:val="left"/>
            </w:pPr>
            <w:r/>
            <w:r>
              <w:rPr>
                <w:b w:val="0"/>
                <w:sz w:val="16"/>
              </w:rPr>
              <w:t>Consolidación auditable y trazable de 51 parámetros.</w:t>
            </w:r>
          </w:p>
        </w:tc>
      </w:tr>
      <w:tr>
        <w:tc>
          <w:tcPr>
            <w:tcW w:type="dxa" w:w="2088"/>
            <w:vAlign w:val="top"/>
          </w:tcPr>
          <w:p>
            <w:pPr>
              <w:jc w:val="left"/>
            </w:pPr>
            <w:r/>
            <w:r>
              <w:rPr>
                <w:b w:val="0"/>
                <w:sz w:val="16"/>
              </w:rPr>
              <w:t>Impuesto verde / emisiones</w:t>
            </w:r>
          </w:p>
        </w:tc>
        <w:tc>
          <w:tcPr>
            <w:tcW w:type="dxa" w:w="4464"/>
            <w:vAlign w:val="top"/>
          </w:tcPr>
          <w:p>
            <w:pPr>
              <w:spacing w:after="0"/>
              <w:jc w:val="left"/>
            </w:pPr>
            <w:r/>
            <w:r>
              <w:rPr>
                <w:b w:val="0"/>
                <w:sz w:val="16"/>
              </w:rPr>
              <w:t>Catastro de fuentes fijas, niveles de actividad, factores de emisión, cálculos y reportes normativos.</w:t>
            </w:r>
          </w:p>
        </w:tc>
        <w:tc>
          <w:tcPr>
            <w:tcW w:type="dxa" w:w="4104"/>
            <w:vAlign w:val="top"/>
          </w:tcPr>
          <w:p>
            <w:pPr>
              <w:jc w:val="left"/>
            </w:pPr>
            <w:r/>
            <w:r>
              <w:rPr>
                <w:b w:val="0"/>
                <w:sz w:val="16"/>
              </w:rPr>
              <w:t>Reportabilidad dinámica SISAT/RUEA/Impuesto Verde.</w:t>
            </w:r>
          </w:p>
        </w:tc>
      </w:tr>
      <w:tr>
        <w:tc>
          <w:tcPr>
            <w:tcW w:type="dxa" w:w="2088"/>
            <w:vAlign w:val="top"/>
          </w:tcPr>
          <w:p>
            <w:pPr>
              <w:jc w:val="left"/>
            </w:pPr>
            <w:r/>
            <w:r>
              <w:rPr>
                <w:b w:val="0"/>
                <w:sz w:val="16"/>
              </w:rPr>
              <w:t>Reportabilidad</w:t>
            </w:r>
          </w:p>
        </w:tc>
        <w:tc>
          <w:tcPr>
            <w:tcW w:type="dxa" w:w="4464"/>
            <w:vAlign w:val="top"/>
          </w:tcPr>
          <w:p>
            <w:pPr>
              <w:spacing w:after="0"/>
              <w:jc w:val="left"/>
            </w:pPr>
            <w:r/>
            <w:r>
              <w:rPr>
                <w:b w:val="0"/>
                <w:sz w:val="16"/>
              </w:rPr>
              <w:t>Dashboards interactivos por año, mes, trimestre, gerencia, empresa, estado, nivel, tipo y MUE.</w:t>
            </w:r>
          </w:p>
        </w:tc>
        <w:tc>
          <w:tcPr>
            <w:tcW w:type="dxa" w:w="4104"/>
            <w:vAlign w:val="top"/>
          </w:tcPr>
          <w:p>
            <w:pPr>
              <w:jc w:val="left"/>
            </w:pPr>
            <w:r/>
            <w:r>
              <w:rPr>
                <w:b w:val="0"/>
                <w:sz w:val="16"/>
              </w:rPr>
              <w:t>Visibilidad operacional y ejecutiva.</w:t>
            </w:r>
          </w:p>
        </w:tc>
      </w:tr>
      <w:tr>
        <w:tc>
          <w:tcPr>
            <w:tcW w:type="dxa" w:w="2088"/>
            <w:vAlign w:val="top"/>
          </w:tcPr>
          <w:p>
            <w:pPr>
              <w:jc w:val="left"/>
            </w:pPr>
            <w:r/>
            <w:r>
              <w:rPr>
                <w:b w:val="0"/>
                <w:sz w:val="16"/>
              </w:rPr>
              <w:t>IA futura</w:t>
            </w:r>
          </w:p>
        </w:tc>
        <w:tc>
          <w:tcPr>
            <w:tcW w:type="dxa" w:w="4464"/>
            <w:vAlign w:val="top"/>
          </w:tcPr>
          <w:p>
            <w:pPr>
              <w:spacing w:after="0"/>
              <w:jc w:val="left"/>
            </w:pPr>
            <w:r/>
            <w:r>
              <w:rPr>
                <w:b w:val="0"/>
                <w:sz w:val="16"/>
              </w:rPr>
              <w:t>Asistencia para clasificación, validación documental/visual, priorización, reincidencias y generación de informes.</w:t>
            </w:r>
          </w:p>
        </w:tc>
        <w:tc>
          <w:tcPr>
            <w:tcW w:type="dxa" w:w="4104"/>
            <w:vAlign w:val="top"/>
          </w:tcPr>
          <w:p>
            <w:pPr>
              <w:jc w:val="left"/>
            </w:pPr>
            <w:r/>
            <w:r>
              <w:rPr>
                <w:b w:val="0"/>
                <w:sz w:val="16"/>
              </w:rPr>
              <w:t>IA como apoyo validado por usuario responsable, no como verdad automática.</w:t>
            </w:r>
          </w:p>
        </w:tc>
      </w:tr>
    </w:tbl>
    <w:p/>
    <w:p>
      <w:pPr>
        <w:pStyle w:val="Heading1"/>
      </w:pPr>
      <w:r>
        <w:t>3. Decisiones arquitectónicas obligatorias</w:t>
      </w:r>
    </w:p>
    <w:tbl>
      <w:tblPr>
        <w:tblStyle w:val="TableGrid"/>
        <w:tblW w:type="auto" w:w="0"/>
        <w:jc w:val="center"/>
        <w:tblLook w:firstColumn="1" w:firstRow="1" w:lastColumn="0" w:lastRow="0" w:noHBand="0" w:noVBand="1" w:val="04A0"/>
      </w:tblPr>
      <w:tblGrid>
        <w:gridCol w:w="3552"/>
        <w:gridCol w:w="3552"/>
        <w:gridCol w:w="3552"/>
      </w:tblGrid>
      <w:tr>
        <w:tc>
          <w:tcPr>
            <w:tcW w:type="dxa" w:w="2160"/>
            <w:vAlign w:val="top"/>
            <w:shd w:fill="1F4E79"/>
          </w:tcPr>
          <w:p>
            <w:pPr>
              <w:jc w:val="left"/>
            </w:pPr>
            <w:r/>
            <w:r>
              <w:rPr>
                <w:b/>
                <w:color w:val="FFFFFF"/>
                <w:sz w:val="16"/>
              </w:rPr>
              <w:t>Decisión</w:t>
            </w:r>
          </w:p>
        </w:tc>
        <w:tc>
          <w:tcPr>
            <w:tcW w:type="dxa" w:w="5040"/>
            <w:vAlign w:val="top"/>
            <w:shd w:fill="1F4E79"/>
          </w:tcPr>
          <w:p>
            <w:pPr>
              <w:jc w:val="left"/>
            </w:pPr>
            <w:r/>
            <w:r>
              <w:rPr>
                <w:b/>
                <w:color w:val="FFFFFF"/>
                <w:sz w:val="16"/>
              </w:rPr>
              <w:t>Regla para el ERS / desarrollo</w:t>
            </w:r>
          </w:p>
        </w:tc>
        <w:tc>
          <w:tcPr>
            <w:tcW w:type="dxa" w:w="3600"/>
            <w:vAlign w:val="top"/>
            <w:shd w:fill="1F4E79"/>
          </w:tcPr>
          <w:p>
            <w:pPr>
              <w:jc w:val="left"/>
            </w:pPr>
            <w:r/>
            <w:r>
              <w:rPr>
                <w:b/>
                <w:color w:val="FFFFFF"/>
                <w:sz w:val="16"/>
              </w:rPr>
              <w:t>Motivo</w:t>
            </w:r>
          </w:p>
        </w:tc>
      </w:tr>
      <w:tr>
        <w:tc>
          <w:tcPr>
            <w:tcW w:type="dxa" w:w="2160"/>
            <w:vAlign w:val="top"/>
          </w:tcPr>
          <w:p>
            <w:pPr>
              <w:jc w:val="left"/>
            </w:pPr>
            <w:r/>
            <w:r>
              <w:rPr>
                <w:b w:val="0"/>
                <w:sz w:val="16"/>
              </w:rPr>
              <w:t>Monorepo</w:t>
            </w:r>
          </w:p>
        </w:tc>
        <w:tc>
          <w:tcPr>
            <w:tcW w:type="dxa" w:w="5040"/>
            <w:vAlign w:val="top"/>
          </w:tcPr>
          <w:p>
            <w:pPr>
              <w:jc w:val="left"/>
            </w:pPr>
            <w:r/>
            <w:r>
              <w:rPr>
                <w:b w:val="0"/>
                <w:sz w:val="16"/>
              </w:rPr>
              <w:t>Usar pnpm workspaces + Turborepo con apps y packages separados.</w:t>
            </w:r>
          </w:p>
        </w:tc>
        <w:tc>
          <w:tcPr>
            <w:tcW w:type="dxa" w:w="3600"/>
            <w:vAlign w:val="top"/>
          </w:tcPr>
          <w:p>
            <w:pPr>
              <w:jc w:val="left"/>
            </w:pPr>
            <w:r/>
            <w:r>
              <w:rPr>
                <w:b w:val="0"/>
                <w:sz w:val="16"/>
              </w:rPr>
              <w:t>Permite compartir contratos y coordinar builds sin acoplar despliegues.</w:t>
            </w:r>
          </w:p>
        </w:tc>
      </w:tr>
      <w:tr>
        <w:tc>
          <w:tcPr>
            <w:tcW w:type="dxa" w:w="2160"/>
            <w:vAlign w:val="top"/>
          </w:tcPr>
          <w:p>
            <w:pPr>
              <w:jc w:val="left"/>
            </w:pPr>
            <w:r/>
            <w:r>
              <w:rPr>
                <w:b w:val="0"/>
                <w:sz w:val="16"/>
              </w:rPr>
              <w:t>Contratos compartidos</w:t>
            </w:r>
          </w:p>
        </w:tc>
        <w:tc>
          <w:tcPr>
            <w:tcW w:type="dxa" w:w="5040"/>
            <w:vAlign w:val="top"/>
          </w:tcPr>
          <w:p>
            <w:pPr>
              <w:spacing w:after="0"/>
              <w:jc w:val="left"/>
            </w:pPr>
            <w:r/>
            <w:r>
              <w:rPr>
                <w:b w:val="0"/>
                <w:sz w:val="16"/>
              </w:rPr>
              <w:t>@aurelia/contracts es la única fuente de verdad para enums, interfaces, DTOs request/response y constraints compartidos.</w:t>
            </w:r>
          </w:p>
        </w:tc>
        <w:tc>
          <w:tcPr>
            <w:tcW w:type="dxa" w:w="3600"/>
            <w:vAlign w:val="top"/>
          </w:tcPr>
          <w:p>
            <w:pPr>
              <w:jc w:val="left"/>
            </w:pPr>
            <w:r/>
            <w:r>
              <w:rPr>
                <w:b w:val="0"/>
                <w:sz w:val="16"/>
              </w:rPr>
              <w:t>Evita divergencias entre API, web y móviles.</w:t>
            </w:r>
          </w:p>
        </w:tc>
      </w:tr>
      <w:tr>
        <w:tc>
          <w:tcPr>
            <w:tcW w:type="dxa" w:w="2160"/>
            <w:vAlign w:val="top"/>
          </w:tcPr>
          <w:p>
            <w:pPr>
              <w:jc w:val="left"/>
            </w:pPr>
            <w:r/>
            <w:r>
              <w:rPr>
                <w:b w:val="0"/>
                <w:sz w:val="16"/>
              </w:rPr>
              <w:t>Entidades TypeORM solo backend</w:t>
            </w:r>
          </w:p>
        </w:tc>
        <w:tc>
          <w:tcPr>
            <w:tcW w:type="dxa" w:w="5040"/>
            <w:vAlign w:val="top"/>
          </w:tcPr>
          <w:p>
            <w:pPr>
              <w:spacing w:after="0"/>
              <w:jc w:val="left"/>
            </w:pPr>
            <w:r/>
            <w:r>
              <w:rPr>
                <w:b w:val="0"/>
                <w:sz w:val="16"/>
              </w:rPr>
              <w:t>Nunca compartir entidades TypeORM con frontend/mobile. El frontend consume responses y types de contracts.</w:t>
            </w:r>
          </w:p>
        </w:tc>
        <w:tc>
          <w:tcPr>
            <w:tcW w:type="dxa" w:w="3600"/>
            <w:vAlign w:val="top"/>
          </w:tcPr>
          <w:p>
            <w:pPr>
              <w:jc w:val="left"/>
            </w:pPr>
            <w:r/>
            <w:r>
              <w:rPr>
                <w:b w:val="0"/>
                <w:sz w:val="16"/>
              </w:rPr>
              <w:t>Separa persistencia de frontera HTTP.</w:t>
            </w:r>
          </w:p>
        </w:tc>
      </w:tr>
      <w:tr>
        <w:tc>
          <w:tcPr>
            <w:tcW w:type="dxa" w:w="2160"/>
            <w:vAlign w:val="top"/>
          </w:tcPr>
          <w:p>
            <w:pPr>
              <w:jc w:val="left"/>
            </w:pPr>
            <w:r/>
            <w:r>
              <w:rPr>
                <w:b w:val="0"/>
                <w:sz w:val="16"/>
              </w:rPr>
              <w:t>DTO implements contrato</w:t>
            </w:r>
          </w:p>
        </w:tc>
        <w:tc>
          <w:tcPr>
            <w:tcW w:type="dxa" w:w="5040"/>
            <w:vAlign w:val="top"/>
          </w:tcPr>
          <w:p>
            <w:pPr>
              <w:spacing w:after="0"/>
              <w:jc w:val="left"/>
            </w:pPr>
            <w:r/>
            <w:r>
              <w:rPr>
                <w:b w:val="0"/>
                <w:sz w:val="16"/>
              </w:rPr>
              <w:t>Los DTOs NestJS deben implementar las interfaces de request definidas en contracts.</w:t>
            </w:r>
          </w:p>
        </w:tc>
        <w:tc>
          <w:tcPr>
            <w:tcW w:type="dxa" w:w="3600"/>
            <w:vAlign w:val="top"/>
          </w:tcPr>
          <w:p>
            <w:pPr>
              <w:jc w:val="left"/>
            </w:pPr>
            <w:r/>
            <w:r>
              <w:rPr>
                <w:b w:val="0"/>
                <w:sz w:val="16"/>
              </w:rPr>
              <w:t>El compilador detecta desalineación entre API y consumidores.</w:t>
            </w:r>
          </w:p>
        </w:tc>
      </w:tr>
      <w:tr>
        <w:tc>
          <w:tcPr>
            <w:tcW w:type="dxa" w:w="2160"/>
            <w:vAlign w:val="top"/>
          </w:tcPr>
          <w:p>
            <w:pPr>
              <w:jc w:val="left"/>
            </w:pPr>
            <w:r/>
            <w:r>
              <w:rPr>
                <w:b w:val="0"/>
                <w:sz w:val="16"/>
              </w:rPr>
              <w:t>PostgreSQL + migraciones</w:t>
            </w:r>
          </w:p>
        </w:tc>
        <w:tc>
          <w:tcPr>
            <w:tcW w:type="dxa" w:w="5040"/>
            <w:vAlign w:val="top"/>
          </w:tcPr>
          <w:p>
            <w:pPr>
              <w:spacing w:after="0"/>
              <w:jc w:val="left"/>
            </w:pPr>
            <w:r/>
            <w:r>
              <w:rPr>
                <w:b w:val="0"/>
                <w:sz w:val="16"/>
              </w:rPr>
              <w:t>El esquema evoluciona con migraciones TypeORM revisadas. No usar synchronize como diseño real.</w:t>
            </w:r>
          </w:p>
        </w:tc>
        <w:tc>
          <w:tcPr>
            <w:tcW w:type="dxa" w:w="3600"/>
            <w:vAlign w:val="top"/>
          </w:tcPr>
          <w:p>
            <w:pPr>
              <w:jc w:val="left"/>
            </w:pPr>
            <w:r/>
            <w:r>
              <w:rPr>
                <w:b w:val="0"/>
                <w:sz w:val="16"/>
              </w:rPr>
              <w:t>Trazabilidad, reproducibilidad y control de cambios.</w:t>
            </w:r>
          </w:p>
        </w:tc>
      </w:tr>
      <w:tr>
        <w:tc>
          <w:tcPr>
            <w:tcW w:type="dxa" w:w="2160"/>
            <w:vAlign w:val="top"/>
          </w:tcPr>
          <w:p>
            <w:pPr>
              <w:jc w:val="left"/>
            </w:pPr>
            <w:r/>
            <w:r>
              <w:rPr>
                <w:b w:val="0"/>
                <w:sz w:val="16"/>
              </w:rPr>
              <w:t>Transversalidad por tablas comunes</w:t>
            </w:r>
          </w:p>
        </w:tc>
        <w:tc>
          <w:tcPr>
            <w:tcW w:type="dxa" w:w="5040"/>
            <w:vAlign w:val="top"/>
          </w:tcPr>
          <w:p>
            <w:pPr>
              <w:spacing w:after="0"/>
              <w:jc w:val="left"/>
            </w:pPr>
            <w:r/>
            <w:r>
              <w:rPr>
                <w:b w:val="0"/>
                <w:sz w:val="16"/>
              </w:rPr>
              <w:t>Usuarios, áreas, empresas, evidencias, comentarios, auditoría, workflows y notificaciones son transversales.</w:t>
            </w:r>
          </w:p>
        </w:tc>
        <w:tc>
          <w:tcPr>
            <w:tcW w:type="dxa" w:w="3600"/>
            <w:vAlign w:val="top"/>
          </w:tcPr>
          <w:p>
            <w:pPr>
              <w:jc w:val="left"/>
            </w:pPr>
            <w:r/>
            <w:r>
              <w:rPr>
                <w:b w:val="0"/>
                <w:sz w:val="16"/>
              </w:rPr>
              <w:t>Evita duplicación entre módulos.</w:t>
            </w:r>
          </w:p>
        </w:tc>
      </w:tr>
      <w:tr>
        <w:tc>
          <w:tcPr>
            <w:tcW w:type="dxa" w:w="2160"/>
            <w:vAlign w:val="top"/>
          </w:tcPr>
          <w:p>
            <w:pPr>
              <w:jc w:val="left"/>
            </w:pPr>
            <w:r/>
            <w:r>
              <w:rPr>
                <w:b w:val="0"/>
                <w:sz w:val="16"/>
              </w:rPr>
              <w:t>Polimorfismo controlado</w:t>
            </w:r>
          </w:p>
        </w:tc>
        <w:tc>
          <w:tcPr>
            <w:tcW w:type="dxa" w:w="5040"/>
            <w:vAlign w:val="top"/>
          </w:tcPr>
          <w:p>
            <w:pPr>
              <w:spacing w:after="0"/>
              <w:jc w:val="left"/>
            </w:pPr>
            <w:r/>
            <w:r>
              <w:rPr>
                <w:b w:val="0"/>
                <w:sz w:val="16"/>
              </w:rPr>
              <w:t>Evidencias, comentarios, auditoría, workflows y notificaciones usan entity_type + entity_id validado por service.</w:t>
            </w:r>
          </w:p>
        </w:tc>
        <w:tc>
          <w:tcPr>
            <w:tcW w:type="dxa" w:w="3600"/>
            <w:vAlign w:val="top"/>
          </w:tcPr>
          <w:p>
            <w:pPr>
              <w:jc w:val="left"/>
            </w:pPr>
            <w:r/>
            <w:r>
              <w:rPr>
                <w:b w:val="0"/>
                <w:sz w:val="16"/>
              </w:rPr>
              <w:t>Permite reutilización sin inflar la base con FKs cruzadas para cada módulo.</w:t>
            </w:r>
          </w:p>
        </w:tc>
      </w:tr>
      <w:tr>
        <w:tc>
          <w:tcPr>
            <w:tcW w:type="dxa" w:w="2160"/>
            <w:vAlign w:val="top"/>
          </w:tcPr>
          <w:p>
            <w:pPr>
              <w:jc w:val="left"/>
            </w:pPr>
            <w:r/>
            <w:r>
              <w:rPr>
                <w:b w:val="0"/>
                <w:sz w:val="16"/>
              </w:rPr>
              <w:t>Server state vs UI state</w:t>
            </w:r>
          </w:p>
        </w:tc>
        <w:tc>
          <w:tcPr>
            <w:tcW w:type="dxa" w:w="5040"/>
            <w:vAlign w:val="top"/>
          </w:tcPr>
          <w:p>
            <w:pPr>
              <w:jc w:val="left"/>
            </w:pPr>
            <w:r/>
            <w:r>
              <w:rPr>
                <w:b w:val="0"/>
                <w:sz w:val="16"/>
              </w:rPr>
              <w:t>TanStack Query para datos API; Zustand para estado de UI/cliente.</w:t>
            </w:r>
          </w:p>
        </w:tc>
        <w:tc>
          <w:tcPr>
            <w:tcW w:type="dxa" w:w="3600"/>
            <w:vAlign w:val="top"/>
          </w:tcPr>
          <w:p>
            <w:pPr>
              <w:jc w:val="left"/>
            </w:pPr>
            <w:r/>
            <w:r>
              <w:rPr>
                <w:b w:val="0"/>
                <w:sz w:val="16"/>
              </w:rPr>
              <w:t>Evita duplicación de datos del servidor y mantiene UI predecible.</w:t>
            </w:r>
          </w:p>
        </w:tc>
      </w:tr>
      <w:tr>
        <w:tc>
          <w:tcPr>
            <w:tcW w:type="dxa" w:w="2160"/>
            <w:vAlign w:val="top"/>
          </w:tcPr>
          <w:p>
            <w:pPr>
              <w:jc w:val="left"/>
            </w:pPr>
            <w:r/>
            <w:r>
              <w:rPr>
                <w:b w:val="0"/>
                <w:sz w:val="16"/>
              </w:rPr>
              <w:t>Diseño responsive</w:t>
            </w:r>
          </w:p>
        </w:tc>
        <w:tc>
          <w:tcPr>
            <w:tcW w:type="dxa" w:w="5040"/>
            <w:vAlign w:val="top"/>
          </w:tcPr>
          <w:p>
            <w:pPr>
              <w:spacing w:after="0"/>
              <w:jc w:val="left"/>
            </w:pPr>
            <w:r/>
            <w:r>
              <w:rPr>
                <w:b w:val="0"/>
                <w:sz w:val="16"/>
              </w:rPr>
              <w:t>Figma Make no debe generar layouts absolutos/pixel-perfect. Debe integrar con grid/flex y UI kit.</w:t>
            </w:r>
          </w:p>
        </w:tc>
        <w:tc>
          <w:tcPr>
            <w:tcW w:type="dxa" w:w="3600"/>
            <w:vAlign w:val="top"/>
          </w:tcPr>
          <w:p>
            <w:pPr>
              <w:jc w:val="left"/>
            </w:pPr>
            <w:r/>
            <w:r>
              <w:rPr>
                <w:b w:val="0"/>
                <w:sz w:val="16"/>
              </w:rPr>
              <w:t>Evita vistas frágiles y difíciles de mantener.</w:t>
            </w:r>
          </w:p>
        </w:tc>
      </w:tr>
    </w:tbl>
    <w:p/>
    <w:p>
      <w:pPr>
        <w:pStyle w:val="Heading1"/>
      </w:pPr>
      <w:r>
        <w:t>4. Mapa de aplicaciones y paquetes del monorepo</w:t>
      </w:r>
    </w:p>
    <w:p>
      <w:r>
        <w:drawing>
          <wp:inline xmlns:a="http://schemas.openxmlformats.org/drawingml/2006/main" xmlns:pic="http://schemas.openxmlformats.org/drawingml/2006/picture">
            <wp:extent cx="6492240" cy="4149816"/>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9"/>
                    <a:stretch>
                      <a:fillRect/>
                    </a:stretch>
                  </pic:blipFill>
                  <pic:spPr>
                    <a:xfrm>
                      <a:off x="0" y="0"/>
                      <a:ext cx="6492240" cy="4149816"/>
                    </a:xfrm>
                    <a:prstGeom prst="rect"/>
                  </pic:spPr>
                </pic:pic>
              </a:graphicData>
            </a:graphic>
          </wp:inline>
        </w:drawing>
      </w:r>
    </w:p>
    <w:p>
      <w:pPr>
        <w:jc w:val="center"/>
      </w:pPr>
      <w:r>
        <w:rPr>
          <w:i/>
        </w:rPr>
        <w:t>Figura 1. Arquitectura lógica del monorepo y flujo de dependencias permitido.</w:t>
      </w:r>
    </w:p>
    <w:tbl>
      <w:tblPr>
        <w:tblStyle w:val="TableGrid"/>
        <w:tblW w:type="auto" w:w="0"/>
        <w:jc w:val="center"/>
        <w:tblLook w:firstColumn="1" w:firstRow="1" w:lastColumn="0" w:lastRow="0" w:noHBand="0" w:noVBand="1" w:val="04A0"/>
      </w:tblPr>
      <w:tblGrid>
        <w:gridCol w:w="3552"/>
        <w:gridCol w:w="3552"/>
        <w:gridCol w:w="3552"/>
      </w:tblGrid>
      <w:tr>
        <w:tc>
          <w:tcPr>
            <w:tcW w:type="dxa" w:w="2304"/>
            <w:vAlign w:val="top"/>
            <w:shd w:fill="1F4E79"/>
          </w:tcPr>
          <w:p>
            <w:pPr>
              <w:jc w:val="left"/>
            </w:pPr>
            <w:r/>
            <w:r>
              <w:rPr>
                <w:b/>
                <w:color w:val="FFFFFF"/>
                <w:sz w:val="16"/>
              </w:rPr>
              <w:t>Ruta</w:t>
            </w:r>
          </w:p>
        </w:tc>
        <w:tc>
          <w:tcPr>
            <w:tcW w:type="dxa" w:w="4608"/>
            <w:vAlign w:val="top"/>
            <w:shd w:fill="1F4E79"/>
          </w:tcPr>
          <w:p>
            <w:pPr>
              <w:jc w:val="left"/>
            </w:pPr>
            <w:r/>
            <w:r>
              <w:rPr>
                <w:b/>
                <w:color w:val="FFFFFF"/>
                <w:sz w:val="16"/>
              </w:rPr>
              <w:t>Responsabilidad</w:t>
            </w:r>
          </w:p>
        </w:tc>
        <w:tc>
          <w:tcPr>
            <w:tcW w:type="dxa" w:w="3888"/>
            <w:vAlign w:val="top"/>
            <w:shd w:fill="1F4E79"/>
          </w:tcPr>
          <w:p>
            <w:pPr>
              <w:jc w:val="left"/>
            </w:pPr>
            <w:r/>
            <w:r>
              <w:rPr>
                <w:b/>
                <w:color w:val="FFFFFF"/>
                <w:sz w:val="16"/>
              </w:rPr>
              <w:t>Reglas clave</w:t>
            </w:r>
          </w:p>
        </w:tc>
      </w:tr>
      <w:tr>
        <w:tc>
          <w:tcPr>
            <w:tcW w:type="dxa" w:w="2304"/>
            <w:vAlign w:val="top"/>
          </w:tcPr>
          <w:p>
            <w:pPr>
              <w:jc w:val="left"/>
            </w:pPr>
            <w:r/>
            <w:r>
              <w:rPr>
                <w:b w:val="0"/>
                <w:sz w:val="16"/>
              </w:rPr>
              <w:t>apps/api</w:t>
            </w:r>
          </w:p>
        </w:tc>
        <w:tc>
          <w:tcPr>
            <w:tcW w:type="dxa" w:w="4608"/>
            <w:vAlign w:val="top"/>
          </w:tcPr>
          <w:p>
            <w:pPr>
              <w:spacing w:after="0"/>
              <w:jc w:val="left"/>
            </w:pPr>
            <w:r/>
            <w:r>
              <w:rPr>
                <w:b w:val="0"/>
                <w:sz w:val="16"/>
              </w:rPr>
              <w:t>API central NestJS con módulos por dominio, DTOs, services, TypeORM, migraciones y seeds.</w:t>
            </w:r>
          </w:p>
        </w:tc>
        <w:tc>
          <w:tcPr>
            <w:tcW w:type="dxa" w:w="3888"/>
            <w:vAlign w:val="top"/>
          </w:tcPr>
          <w:p>
            <w:pPr>
              <w:jc w:val="left"/>
            </w:pPr>
            <w:r/>
            <w:r>
              <w:rPr>
                <w:b w:val="0"/>
                <w:sz w:val="16"/>
              </w:rPr>
              <w:t>Puede importar @aurelia/contracts. No expone entidades TypeORM como response.</w:t>
            </w:r>
          </w:p>
        </w:tc>
      </w:tr>
      <w:tr>
        <w:tc>
          <w:tcPr>
            <w:tcW w:type="dxa" w:w="2304"/>
            <w:vAlign w:val="top"/>
          </w:tcPr>
          <w:p>
            <w:pPr>
              <w:jc w:val="left"/>
            </w:pPr>
            <w:r/>
            <w:r>
              <w:rPr>
                <w:b w:val="0"/>
                <w:sz w:val="16"/>
              </w:rPr>
              <w:t>apps/web</w:t>
            </w:r>
          </w:p>
        </w:tc>
        <w:tc>
          <w:tcPr>
            <w:tcW w:type="dxa" w:w="4608"/>
            <w:vAlign w:val="top"/>
          </w:tcPr>
          <w:p>
            <w:pPr>
              <w:spacing w:after="0"/>
              <w:jc w:val="left"/>
            </w:pPr>
            <w:r/>
            <w:r>
              <w:rPr>
                <w:b w:val="0"/>
                <w:sz w:val="16"/>
              </w:rPr>
              <w:t>Web central por roles para operación, supervisión, aprobación, administración y dashboards.</w:t>
            </w:r>
          </w:p>
        </w:tc>
        <w:tc>
          <w:tcPr>
            <w:tcW w:type="dxa" w:w="3888"/>
            <w:vAlign w:val="top"/>
          </w:tcPr>
          <w:p>
            <w:pPr>
              <w:jc w:val="left"/>
            </w:pPr>
            <w:r/>
            <w:r>
              <w:rPr>
                <w:b w:val="0"/>
                <w:sz w:val="16"/>
              </w:rPr>
              <w:t>React/Vite, Tailwind, shadcn/ui, services + hooks, roles desde contracts.</w:t>
            </w:r>
          </w:p>
        </w:tc>
      </w:tr>
      <w:tr>
        <w:tc>
          <w:tcPr>
            <w:tcW w:type="dxa" w:w="2304"/>
            <w:vAlign w:val="top"/>
          </w:tcPr>
          <w:p>
            <w:pPr>
              <w:jc w:val="left"/>
            </w:pPr>
            <w:r/>
            <w:r>
              <w:rPr>
                <w:b w:val="0"/>
                <w:sz w:val="16"/>
              </w:rPr>
              <w:t>apps/mobile-inspecciones</w:t>
            </w:r>
          </w:p>
        </w:tc>
        <w:tc>
          <w:tcPr>
            <w:tcW w:type="dxa" w:w="4608"/>
            <w:vAlign w:val="top"/>
          </w:tcPr>
          <w:p>
            <w:pPr>
              <w:spacing w:after="0"/>
              <w:jc w:val="left"/>
            </w:pPr>
            <w:r/>
            <w:r>
              <w:rPr>
                <w:b w:val="0"/>
                <w:sz w:val="16"/>
              </w:rPr>
              <w:t>App de terreno para levantar inspecciones, hallazgos, fotos, GPS y sincronización.</w:t>
            </w:r>
          </w:p>
        </w:tc>
        <w:tc>
          <w:tcPr>
            <w:tcW w:type="dxa" w:w="3888"/>
            <w:vAlign w:val="top"/>
          </w:tcPr>
          <w:p>
            <w:pPr>
              <w:jc w:val="left"/>
            </w:pPr>
            <w:r/>
            <w:r>
              <w:rPr>
                <w:b w:val="0"/>
                <w:sz w:val="16"/>
              </w:rPr>
              <w:t>Expo, RN flex, offline básico, contratos compartidos.</w:t>
            </w:r>
          </w:p>
        </w:tc>
      </w:tr>
      <w:tr>
        <w:tc>
          <w:tcPr>
            <w:tcW w:type="dxa" w:w="2304"/>
            <w:vAlign w:val="top"/>
          </w:tcPr>
          <w:p>
            <w:pPr>
              <w:jc w:val="left"/>
            </w:pPr>
            <w:r/>
            <w:r>
              <w:rPr>
                <w:b w:val="0"/>
                <w:sz w:val="16"/>
              </w:rPr>
              <w:t>apps/mobile-incidentes</w:t>
            </w:r>
          </w:p>
        </w:tc>
        <w:tc>
          <w:tcPr>
            <w:tcW w:type="dxa" w:w="4608"/>
            <w:vAlign w:val="top"/>
          </w:tcPr>
          <w:p>
            <w:pPr>
              <w:spacing w:after="0"/>
              <w:jc w:val="left"/>
            </w:pPr>
            <w:r/>
            <w:r>
              <w:rPr>
                <w:b w:val="0"/>
                <w:sz w:val="16"/>
              </w:rPr>
              <w:t>App de terreno para registrar incidentes, foto, GPS, descripción y preclasificación.</w:t>
            </w:r>
          </w:p>
        </w:tc>
        <w:tc>
          <w:tcPr>
            <w:tcW w:type="dxa" w:w="3888"/>
            <w:vAlign w:val="top"/>
          </w:tcPr>
          <w:p>
            <w:pPr>
              <w:jc w:val="left"/>
            </w:pPr>
            <w:r/>
            <w:r>
              <w:rPr>
                <w:b w:val="0"/>
                <w:sz w:val="16"/>
              </w:rPr>
              <w:t>Expo, captura rápida, sincronización y validación posterior.</w:t>
            </w:r>
          </w:p>
        </w:tc>
      </w:tr>
      <w:tr>
        <w:tc>
          <w:tcPr>
            <w:tcW w:type="dxa" w:w="2304"/>
            <w:vAlign w:val="top"/>
          </w:tcPr>
          <w:p>
            <w:pPr>
              <w:jc w:val="left"/>
            </w:pPr>
            <w:r/>
            <w:r>
              <w:rPr>
                <w:b w:val="0"/>
                <w:sz w:val="16"/>
              </w:rPr>
              <w:t>packages/contracts</w:t>
            </w:r>
          </w:p>
        </w:tc>
        <w:tc>
          <w:tcPr>
            <w:tcW w:type="dxa" w:w="4608"/>
            <w:vAlign w:val="top"/>
          </w:tcPr>
          <w:p>
            <w:pPr>
              <w:jc w:val="left"/>
            </w:pPr>
            <w:r/>
            <w:r>
              <w:rPr>
                <w:b w:val="0"/>
                <w:sz w:val="16"/>
              </w:rPr>
              <w:t>Enums, interfaces, types, DTOs request/response y schemas agnósticos.</w:t>
            </w:r>
          </w:p>
        </w:tc>
        <w:tc>
          <w:tcPr>
            <w:tcW w:type="dxa" w:w="3888"/>
            <w:vAlign w:val="top"/>
          </w:tcPr>
          <w:p>
            <w:pPr>
              <w:jc w:val="left"/>
            </w:pPr>
            <w:r/>
            <w:r>
              <w:rPr>
                <w:b w:val="0"/>
                <w:sz w:val="16"/>
              </w:rPr>
              <w:t>No depende de NestJS, TypeORM, React, Expo ni class-validator.</w:t>
            </w:r>
          </w:p>
        </w:tc>
      </w:tr>
      <w:tr>
        <w:tc>
          <w:tcPr>
            <w:tcW w:type="dxa" w:w="2304"/>
            <w:vAlign w:val="top"/>
          </w:tcPr>
          <w:p>
            <w:pPr>
              <w:jc w:val="left"/>
            </w:pPr>
            <w:r/>
            <w:r>
              <w:rPr>
                <w:b w:val="0"/>
                <w:sz w:val="16"/>
              </w:rPr>
              <w:t>docs</w:t>
            </w:r>
          </w:p>
        </w:tc>
        <w:tc>
          <w:tcPr>
            <w:tcW w:type="dxa" w:w="4608"/>
            <w:vAlign w:val="top"/>
          </w:tcPr>
          <w:p>
            <w:pPr>
              <w:spacing w:after="0"/>
              <w:jc w:val="left"/>
            </w:pPr>
            <w:r/>
            <w:r>
              <w:rPr>
                <w:b w:val="0"/>
                <w:sz w:val="16"/>
              </w:rPr>
              <w:t>Fuente de contexto para IA, ERS, arquitectura, flujos, base de datos y guías por equipo.</w:t>
            </w:r>
          </w:p>
        </w:tc>
        <w:tc>
          <w:tcPr>
            <w:tcW w:type="dxa" w:w="3888"/>
            <w:vAlign w:val="top"/>
          </w:tcPr>
          <w:p>
            <w:pPr>
              <w:jc w:val="left"/>
            </w:pPr>
            <w:r/>
            <w:r>
              <w:rPr>
                <w:b w:val="0"/>
                <w:sz w:val="16"/>
              </w:rPr>
              <w:t>Cada prompt debe indicar qué documentos leer antes de modificar código.</w:t>
            </w:r>
          </w:p>
        </w:tc>
      </w:tr>
    </w:tbl>
    <w:p/>
    <w:p>
      <w:pPr>
        <w:pStyle w:val="Heading1"/>
      </w:pPr>
      <w:r>
        <w:t>5. Alcance modular del sistema</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872"/>
            <w:vAlign w:val="top"/>
            <w:shd w:fill="1F4E79"/>
          </w:tcPr>
          <w:p>
            <w:pPr>
              <w:jc w:val="left"/>
            </w:pPr>
            <w:r/>
            <w:r>
              <w:rPr>
                <w:b/>
                <w:color w:val="FFFFFF"/>
                <w:sz w:val="15"/>
              </w:rPr>
              <w:t>Módulo</w:t>
            </w:r>
          </w:p>
        </w:tc>
        <w:tc>
          <w:tcPr>
            <w:tcW w:type="dxa" w:w="3384"/>
            <w:vAlign w:val="top"/>
            <w:shd w:fill="1F4E79"/>
          </w:tcPr>
          <w:p>
            <w:pPr>
              <w:jc w:val="left"/>
            </w:pPr>
            <w:r/>
            <w:r>
              <w:rPr>
                <w:b/>
                <w:color w:val="FFFFFF"/>
                <w:sz w:val="15"/>
              </w:rPr>
              <w:t>Entidades principales</w:t>
            </w:r>
          </w:p>
        </w:tc>
        <w:tc>
          <w:tcPr>
            <w:tcW w:type="dxa" w:w="3672"/>
            <w:vAlign w:val="top"/>
            <w:shd w:fill="1F4E79"/>
          </w:tcPr>
          <w:p>
            <w:pPr>
              <w:jc w:val="left"/>
            </w:pPr>
            <w:r/>
            <w:r>
              <w:rPr>
                <w:b/>
                <w:color w:val="FFFFFF"/>
                <w:sz w:val="15"/>
              </w:rPr>
              <w:t>Alcance funcional</w:t>
            </w:r>
          </w:p>
        </w:tc>
        <w:tc>
          <w:tcPr>
            <w:tcW w:type="dxa" w:w="1872"/>
            <w:vAlign w:val="top"/>
            <w:shd w:fill="1F4E79"/>
          </w:tcPr>
          <w:p>
            <w:pPr>
              <w:jc w:val="left"/>
            </w:pPr>
            <w:r/>
            <w:r>
              <w:rPr>
                <w:b/>
                <w:color w:val="FFFFFF"/>
                <w:sz w:val="15"/>
              </w:rPr>
              <w:t>Consumidores</w:t>
            </w:r>
          </w:p>
        </w:tc>
      </w:tr>
      <w:tr>
        <w:tc>
          <w:tcPr>
            <w:tcW w:type="dxa" w:w="1872"/>
            <w:vAlign w:val="top"/>
          </w:tcPr>
          <w:p>
            <w:pPr>
              <w:jc w:val="left"/>
            </w:pPr>
            <w:r/>
            <w:r>
              <w:rPr>
                <w:b w:val="0"/>
                <w:sz w:val="15"/>
              </w:rPr>
              <w:t>Core organizacional</w:t>
            </w:r>
          </w:p>
        </w:tc>
        <w:tc>
          <w:tcPr>
            <w:tcW w:type="dxa" w:w="3384"/>
            <w:vAlign w:val="top"/>
          </w:tcPr>
          <w:p>
            <w:pPr>
              <w:jc w:val="left"/>
            </w:pPr>
            <w:r/>
            <w:r>
              <w:rPr>
                <w:b w:val="0"/>
                <w:sz w:val="15"/>
              </w:rPr>
              <w:t>business_units, gerencias, areas, sectors, locations, companies</w:t>
            </w:r>
          </w:p>
        </w:tc>
        <w:tc>
          <w:tcPr>
            <w:tcW w:type="dxa" w:w="3672"/>
            <w:vAlign w:val="top"/>
          </w:tcPr>
          <w:p>
            <w:pPr>
              <w:jc w:val="left"/>
            </w:pPr>
            <w:r/>
            <w:r>
              <w:rPr>
                <w:b w:val="0"/>
                <w:sz w:val="15"/>
              </w:rPr>
              <w:t>Catálogos, filtros, jerarquía de área/empresa</w:t>
            </w:r>
          </w:p>
        </w:tc>
        <w:tc>
          <w:tcPr>
            <w:tcW w:type="dxa" w:w="1872"/>
            <w:vAlign w:val="top"/>
          </w:tcPr>
          <w:p>
            <w:pPr>
              <w:jc w:val="left"/>
            </w:pPr>
            <w:r/>
            <w:r>
              <w:rPr>
                <w:b w:val="0"/>
                <w:sz w:val="15"/>
              </w:rPr>
              <w:t>Todas las fases</w:t>
            </w:r>
          </w:p>
        </w:tc>
      </w:tr>
      <w:tr>
        <w:tc>
          <w:tcPr>
            <w:tcW w:type="dxa" w:w="1872"/>
            <w:vAlign w:val="top"/>
          </w:tcPr>
          <w:p>
            <w:pPr>
              <w:jc w:val="left"/>
            </w:pPr>
            <w:r/>
            <w:r>
              <w:rPr>
                <w:b w:val="0"/>
                <w:sz w:val="15"/>
              </w:rPr>
              <w:t>Usuarios, roles y permisos</w:t>
            </w:r>
          </w:p>
        </w:tc>
        <w:tc>
          <w:tcPr>
            <w:tcW w:type="dxa" w:w="3384"/>
            <w:vAlign w:val="top"/>
          </w:tcPr>
          <w:p>
            <w:pPr>
              <w:jc w:val="left"/>
            </w:pPr>
            <w:r/>
            <w:r>
              <w:rPr>
                <w:b w:val="0"/>
                <w:sz w:val="15"/>
              </w:rPr>
              <w:t>users, roles, permissions, user_roles, role_permissions, user_area_assignments</w:t>
            </w:r>
          </w:p>
        </w:tc>
        <w:tc>
          <w:tcPr>
            <w:tcW w:type="dxa" w:w="3672"/>
            <w:vAlign w:val="top"/>
          </w:tcPr>
          <w:p>
            <w:pPr>
              <w:jc w:val="left"/>
            </w:pPr>
            <w:r/>
            <w:r>
              <w:rPr>
                <w:b w:val="0"/>
                <w:sz w:val="15"/>
              </w:rPr>
              <w:t>Identidad, perfiles, permisos por módulo/acción</w:t>
            </w:r>
          </w:p>
        </w:tc>
        <w:tc>
          <w:tcPr>
            <w:tcW w:type="dxa" w:w="1872"/>
            <w:vAlign w:val="top"/>
          </w:tcPr>
          <w:p>
            <w:pPr>
              <w:jc w:val="left"/>
            </w:pPr>
            <w:r/>
            <w:r>
              <w:rPr>
                <w:b w:val="0"/>
                <w:sz w:val="15"/>
              </w:rPr>
              <w:t>Transversal</w:t>
            </w:r>
          </w:p>
        </w:tc>
      </w:tr>
      <w:tr>
        <w:tc>
          <w:tcPr>
            <w:tcW w:type="dxa" w:w="1872"/>
            <w:vAlign w:val="top"/>
          </w:tcPr>
          <w:p>
            <w:pPr>
              <w:jc w:val="left"/>
            </w:pPr>
            <w:r/>
            <w:r>
              <w:rPr>
                <w:b w:val="0"/>
                <w:sz w:val="15"/>
              </w:rPr>
              <w:t>Archivos y evidencias</w:t>
            </w:r>
          </w:p>
        </w:tc>
        <w:tc>
          <w:tcPr>
            <w:tcW w:type="dxa" w:w="3384"/>
            <w:vAlign w:val="top"/>
          </w:tcPr>
          <w:p>
            <w:pPr>
              <w:jc w:val="left"/>
            </w:pPr>
            <w:r/>
            <w:r>
              <w:rPr>
                <w:b w:val="0"/>
                <w:sz w:val="15"/>
              </w:rPr>
              <w:t>files, evidences, evidence_links, entity_reference_types</w:t>
            </w:r>
          </w:p>
        </w:tc>
        <w:tc>
          <w:tcPr>
            <w:tcW w:type="dxa" w:w="3672"/>
            <w:vAlign w:val="top"/>
          </w:tcPr>
          <w:p>
            <w:pPr>
              <w:jc w:val="left"/>
            </w:pPr>
            <w:r/>
            <w:r>
              <w:rPr>
                <w:b w:val="0"/>
                <w:sz w:val="15"/>
              </w:rPr>
              <w:t>Adjuntos, fotos, documentos, GPS, validación</w:t>
            </w:r>
          </w:p>
        </w:tc>
        <w:tc>
          <w:tcPr>
            <w:tcW w:type="dxa" w:w="1872"/>
            <w:vAlign w:val="top"/>
          </w:tcPr>
          <w:p>
            <w:pPr>
              <w:jc w:val="left"/>
            </w:pPr>
            <w:r/>
            <w:r>
              <w:rPr>
                <w:b w:val="0"/>
                <w:sz w:val="15"/>
              </w:rPr>
              <w:t>Inspecciones, incidentes, SPR, controles, emisiones</w:t>
            </w:r>
          </w:p>
        </w:tc>
      </w:tr>
      <w:tr>
        <w:tc>
          <w:tcPr>
            <w:tcW w:type="dxa" w:w="1872"/>
            <w:vAlign w:val="top"/>
          </w:tcPr>
          <w:p>
            <w:pPr>
              <w:jc w:val="left"/>
            </w:pPr>
            <w:r/>
            <w:r>
              <w:rPr>
                <w:b w:val="0"/>
                <w:sz w:val="15"/>
              </w:rPr>
              <w:t>Comentarios y auditoría</w:t>
            </w:r>
          </w:p>
        </w:tc>
        <w:tc>
          <w:tcPr>
            <w:tcW w:type="dxa" w:w="3384"/>
            <w:vAlign w:val="top"/>
          </w:tcPr>
          <w:p>
            <w:pPr>
              <w:jc w:val="left"/>
            </w:pPr>
            <w:r/>
            <w:r>
              <w:rPr>
                <w:b w:val="0"/>
                <w:sz w:val="15"/>
              </w:rPr>
              <w:t>comments, audit_logs</w:t>
            </w:r>
          </w:p>
        </w:tc>
        <w:tc>
          <w:tcPr>
            <w:tcW w:type="dxa" w:w="3672"/>
            <w:vAlign w:val="top"/>
          </w:tcPr>
          <w:p>
            <w:pPr>
              <w:jc w:val="left"/>
            </w:pPr>
            <w:r/>
            <w:r>
              <w:rPr>
                <w:b w:val="0"/>
                <w:sz w:val="15"/>
              </w:rPr>
              <w:t>Observaciones y trazabilidad de cambios</w:t>
            </w:r>
          </w:p>
        </w:tc>
        <w:tc>
          <w:tcPr>
            <w:tcW w:type="dxa" w:w="1872"/>
            <w:vAlign w:val="top"/>
          </w:tcPr>
          <w:p>
            <w:pPr>
              <w:jc w:val="left"/>
            </w:pPr>
            <w:r/>
            <w:r>
              <w:rPr>
                <w:b w:val="0"/>
                <w:sz w:val="15"/>
              </w:rPr>
              <w:t>Todos los módulos críticos</w:t>
            </w:r>
          </w:p>
        </w:tc>
      </w:tr>
      <w:tr>
        <w:tc>
          <w:tcPr>
            <w:tcW w:type="dxa" w:w="1872"/>
            <w:vAlign w:val="top"/>
          </w:tcPr>
          <w:p>
            <w:pPr>
              <w:jc w:val="left"/>
            </w:pPr>
            <w:r/>
            <w:r>
              <w:rPr>
                <w:b w:val="0"/>
                <w:sz w:val="15"/>
              </w:rPr>
              <w:t>Workflows y notificaciones</w:t>
            </w:r>
          </w:p>
        </w:tc>
        <w:tc>
          <w:tcPr>
            <w:tcW w:type="dxa" w:w="3384"/>
            <w:vAlign w:val="top"/>
          </w:tcPr>
          <w:p>
            <w:pPr>
              <w:jc w:val="left"/>
            </w:pPr>
            <w:r/>
            <w:r>
              <w:rPr>
                <w:b w:val="0"/>
                <w:sz w:val="15"/>
              </w:rPr>
              <w:t>workflow_definitions/instances/steps, notifications, recipients</w:t>
            </w:r>
          </w:p>
        </w:tc>
        <w:tc>
          <w:tcPr>
            <w:tcW w:type="dxa" w:w="3672"/>
            <w:vAlign w:val="top"/>
          </w:tcPr>
          <w:p>
            <w:pPr>
              <w:jc w:val="left"/>
            </w:pPr>
            <w:r/>
            <w:r>
              <w:rPr>
                <w:b w:val="0"/>
                <w:sz w:val="15"/>
              </w:rPr>
              <w:t>Aprobación, devolución, cierre, alertas y recordatorios</w:t>
            </w:r>
          </w:p>
        </w:tc>
        <w:tc>
          <w:tcPr>
            <w:tcW w:type="dxa" w:w="1872"/>
            <w:vAlign w:val="top"/>
          </w:tcPr>
          <w:p>
            <w:pPr>
              <w:jc w:val="left"/>
            </w:pPr>
            <w:r/>
            <w:r>
              <w:rPr>
                <w:b w:val="0"/>
                <w:sz w:val="15"/>
              </w:rPr>
              <w:t>Inspecciones, incidentes, SPR, controles</w:t>
            </w:r>
          </w:p>
        </w:tc>
      </w:tr>
      <w:tr>
        <w:tc>
          <w:tcPr>
            <w:tcW w:type="dxa" w:w="1872"/>
            <w:vAlign w:val="top"/>
          </w:tcPr>
          <w:p>
            <w:pPr>
              <w:jc w:val="left"/>
            </w:pPr>
            <w:r/>
            <w:r>
              <w:rPr>
                <w:b w:val="0"/>
                <w:sz w:val="15"/>
              </w:rPr>
              <w:t>Inspecciones</w:t>
            </w:r>
          </w:p>
        </w:tc>
        <w:tc>
          <w:tcPr>
            <w:tcW w:type="dxa" w:w="3384"/>
            <w:vAlign w:val="top"/>
          </w:tcPr>
          <w:p>
            <w:pPr>
              <w:jc w:val="left"/>
            </w:pPr>
            <w:r/>
            <w:r>
              <w:rPr>
                <w:b w:val="0"/>
                <w:sz w:val="15"/>
              </w:rPr>
              <w:t>templates, sections, items, inspections, answers, findings, followups, exports</w:t>
            </w:r>
          </w:p>
        </w:tc>
        <w:tc>
          <w:tcPr>
            <w:tcW w:type="dxa" w:w="3672"/>
            <w:vAlign w:val="top"/>
          </w:tcPr>
          <w:p>
            <w:pPr>
              <w:jc w:val="left"/>
            </w:pPr>
            <w:r/>
            <w:r>
              <w:rPr>
                <w:b w:val="0"/>
                <w:sz w:val="15"/>
              </w:rPr>
              <w:t>Checklist/hallazgos, seguimientos, cierre, PDF, dashboard</w:t>
            </w:r>
          </w:p>
        </w:tc>
        <w:tc>
          <w:tcPr>
            <w:tcW w:type="dxa" w:w="1872"/>
            <w:vAlign w:val="top"/>
          </w:tcPr>
          <w:p>
            <w:pPr>
              <w:jc w:val="left"/>
            </w:pPr>
            <w:r/>
            <w:r>
              <w:rPr>
                <w:b w:val="0"/>
                <w:sz w:val="15"/>
              </w:rPr>
              <w:t>Web + mobile-inspecciones</w:t>
            </w:r>
          </w:p>
        </w:tc>
      </w:tr>
      <w:tr>
        <w:tc>
          <w:tcPr>
            <w:tcW w:type="dxa" w:w="1872"/>
            <w:vAlign w:val="top"/>
          </w:tcPr>
          <w:p>
            <w:pPr>
              <w:jc w:val="left"/>
            </w:pPr>
            <w:r/>
            <w:r>
              <w:rPr>
                <w:b w:val="0"/>
                <w:sz w:val="15"/>
              </w:rPr>
              <w:t>Incidentes</w:t>
            </w:r>
          </w:p>
        </w:tc>
        <w:tc>
          <w:tcPr>
            <w:tcW w:type="dxa" w:w="3384"/>
            <w:vAlign w:val="top"/>
          </w:tcPr>
          <w:p>
            <w:pPr>
              <w:spacing w:after="0"/>
              <w:jc w:val="left"/>
            </w:pPr>
            <w:r/>
            <w:r>
              <w:rPr>
                <w:b w:val="0"/>
                <w:sz w:val="15"/>
              </w:rPr>
              <w:t>incident_types, level_rules, incidents, flash_report, investigations, action_plans</w:t>
            </w:r>
          </w:p>
        </w:tc>
        <w:tc>
          <w:tcPr>
            <w:tcW w:type="dxa" w:w="3672"/>
            <w:vAlign w:val="top"/>
          </w:tcPr>
          <w:p>
            <w:pPr>
              <w:jc w:val="left"/>
            </w:pPr>
            <w:r/>
            <w:r>
              <w:rPr>
                <w:b w:val="0"/>
                <w:sz w:val="15"/>
              </w:rPr>
              <w:t>Flash Report, SLA, ICAM/5 Por Qué, cierre y difusión</w:t>
            </w:r>
          </w:p>
        </w:tc>
        <w:tc>
          <w:tcPr>
            <w:tcW w:type="dxa" w:w="1872"/>
            <w:vAlign w:val="top"/>
          </w:tcPr>
          <w:p>
            <w:pPr>
              <w:jc w:val="left"/>
            </w:pPr>
            <w:r/>
            <w:r>
              <w:rPr>
                <w:b w:val="0"/>
                <w:sz w:val="15"/>
              </w:rPr>
              <w:t>Web + mobile-incidentes</w:t>
            </w:r>
          </w:p>
        </w:tc>
      </w:tr>
      <w:tr>
        <w:tc>
          <w:tcPr>
            <w:tcW w:type="dxa" w:w="1872"/>
            <w:vAlign w:val="top"/>
          </w:tcPr>
          <w:p>
            <w:pPr>
              <w:jc w:val="left"/>
            </w:pPr>
            <w:r/>
            <w:r>
              <w:rPr>
                <w:b w:val="0"/>
                <w:sz w:val="15"/>
              </w:rPr>
              <w:t>MUE y controles críticos</w:t>
            </w:r>
          </w:p>
        </w:tc>
        <w:tc>
          <w:tcPr>
            <w:tcW w:type="dxa" w:w="3384"/>
            <w:vAlign w:val="top"/>
          </w:tcPr>
          <w:p>
            <w:pPr>
              <w:jc w:val="left"/>
            </w:pPr>
            <w:r/>
            <w:r>
              <w:rPr>
                <w:b w:val="0"/>
                <w:sz w:val="15"/>
              </w:rPr>
              <w:t>mues, critical_controls, verification_items, assessments, answers</w:t>
            </w:r>
          </w:p>
        </w:tc>
        <w:tc>
          <w:tcPr>
            <w:tcW w:type="dxa" w:w="3672"/>
            <w:vAlign w:val="top"/>
          </w:tcPr>
          <w:p>
            <w:pPr>
              <w:jc w:val="left"/>
            </w:pPr>
            <w:r/>
            <w:r>
              <w:rPr>
                <w:b w:val="0"/>
                <w:sz w:val="15"/>
              </w:rPr>
              <w:t>Autoevaluación y evidencias por MUE/área/responsable</w:t>
            </w:r>
          </w:p>
        </w:tc>
        <w:tc>
          <w:tcPr>
            <w:tcW w:type="dxa" w:w="1872"/>
            <w:vAlign w:val="top"/>
          </w:tcPr>
          <w:p>
            <w:pPr>
              <w:jc w:val="left"/>
            </w:pPr>
            <w:r/>
            <w:r>
              <w:rPr>
                <w:b w:val="0"/>
                <w:sz w:val="15"/>
              </w:rPr>
              <w:t>Web + reportabilidad</w:t>
            </w:r>
          </w:p>
        </w:tc>
      </w:tr>
      <w:tr>
        <w:tc>
          <w:tcPr>
            <w:tcW w:type="dxa" w:w="1872"/>
            <w:vAlign w:val="top"/>
          </w:tcPr>
          <w:p>
            <w:pPr>
              <w:jc w:val="left"/>
            </w:pPr>
            <w:r/>
            <w:r>
              <w:rPr>
                <w:b w:val="0"/>
                <w:sz w:val="15"/>
              </w:rPr>
              <w:t>SPR</w:t>
            </w:r>
          </w:p>
        </w:tc>
        <w:tc>
          <w:tcPr>
            <w:tcW w:type="dxa" w:w="3384"/>
            <w:vAlign w:val="top"/>
          </w:tcPr>
          <w:p>
            <w:pPr>
              <w:spacing w:after="0"/>
              <w:jc w:val="left"/>
            </w:pPr>
            <w:r/>
            <w:r>
              <w:rPr>
                <w:b w:val="0"/>
                <w:sz w:val="15"/>
              </w:rPr>
              <w:t>measure_groups, units, parameters, assignments, monthly_records, consolidation_rules</w:t>
            </w:r>
          </w:p>
        </w:tc>
        <w:tc>
          <w:tcPr>
            <w:tcW w:type="dxa" w:w="3672"/>
            <w:vAlign w:val="top"/>
          </w:tcPr>
          <w:p>
            <w:pPr>
              <w:jc w:val="left"/>
            </w:pPr>
            <w:r/>
            <w:r>
              <w:rPr>
                <w:b w:val="0"/>
                <w:sz w:val="15"/>
              </w:rPr>
              <w:t>51 parámetros, SOX, validación y consolidación mensual</w:t>
            </w:r>
          </w:p>
        </w:tc>
        <w:tc>
          <w:tcPr>
            <w:tcW w:type="dxa" w:w="1872"/>
            <w:vAlign w:val="top"/>
          </w:tcPr>
          <w:p>
            <w:pPr>
              <w:jc w:val="left"/>
            </w:pPr>
            <w:r/>
            <w:r>
              <w:rPr>
                <w:b w:val="0"/>
                <w:sz w:val="15"/>
              </w:rPr>
              <w:t>Web + reportes</w:t>
            </w:r>
          </w:p>
        </w:tc>
      </w:tr>
      <w:tr>
        <w:tc>
          <w:tcPr>
            <w:tcW w:type="dxa" w:w="1872"/>
            <w:vAlign w:val="top"/>
          </w:tcPr>
          <w:p>
            <w:pPr>
              <w:jc w:val="left"/>
            </w:pPr>
            <w:r/>
            <w:r>
              <w:rPr>
                <w:b w:val="0"/>
                <w:sz w:val="15"/>
              </w:rPr>
              <w:t>Emisiones / impuesto verde</w:t>
            </w:r>
          </w:p>
        </w:tc>
        <w:tc>
          <w:tcPr>
            <w:tcW w:type="dxa" w:w="3384"/>
            <w:vAlign w:val="top"/>
          </w:tcPr>
          <w:p>
            <w:pPr>
              <w:jc w:val="left"/>
            </w:pPr>
            <w:r/>
            <w:r>
              <w:rPr>
                <w:b w:val="0"/>
                <w:sz w:val="15"/>
              </w:rPr>
              <w:t>emission_sources, activity_levels, factors, calculations, thresholds</w:t>
            </w:r>
          </w:p>
        </w:tc>
        <w:tc>
          <w:tcPr>
            <w:tcW w:type="dxa" w:w="3672"/>
            <w:vAlign w:val="top"/>
          </w:tcPr>
          <w:p>
            <w:pPr>
              <w:jc w:val="left"/>
            </w:pPr>
            <w:r/>
            <w:r>
              <w:rPr>
                <w:b w:val="0"/>
                <w:sz w:val="15"/>
              </w:rPr>
              <w:t>Fuentes fijas, emisiones, SISAT/RUEA/Impuesto Verde</w:t>
            </w:r>
          </w:p>
        </w:tc>
        <w:tc>
          <w:tcPr>
            <w:tcW w:type="dxa" w:w="1872"/>
            <w:vAlign w:val="top"/>
          </w:tcPr>
          <w:p>
            <w:pPr>
              <w:jc w:val="left"/>
            </w:pPr>
            <w:r/>
            <w:r>
              <w:rPr>
                <w:b w:val="0"/>
                <w:sz w:val="15"/>
              </w:rPr>
              <w:t>Web + reportes</w:t>
            </w:r>
          </w:p>
        </w:tc>
      </w:tr>
      <w:tr>
        <w:tc>
          <w:tcPr>
            <w:tcW w:type="dxa" w:w="1872"/>
            <w:vAlign w:val="top"/>
          </w:tcPr>
          <w:p>
            <w:pPr>
              <w:jc w:val="left"/>
            </w:pPr>
            <w:r/>
            <w:r>
              <w:rPr>
                <w:b w:val="0"/>
                <w:sz w:val="15"/>
              </w:rPr>
              <w:t>IA asistiva</w:t>
            </w:r>
          </w:p>
        </w:tc>
        <w:tc>
          <w:tcPr>
            <w:tcW w:type="dxa" w:w="3384"/>
            <w:vAlign w:val="top"/>
          </w:tcPr>
          <w:p>
            <w:pPr>
              <w:jc w:val="left"/>
            </w:pPr>
            <w:r/>
            <w:r>
              <w:rPr>
                <w:b w:val="0"/>
                <w:sz w:val="15"/>
              </w:rPr>
              <w:t>ai_suggestions, classification_results, visual_validation_results, feedback</w:t>
            </w:r>
          </w:p>
        </w:tc>
        <w:tc>
          <w:tcPr>
            <w:tcW w:type="dxa" w:w="3672"/>
            <w:vAlign w:val="top"/>
          </w:tcPr>
          <w:p>
            <w:pPr>
              <w:jc w:val="left"/>
            </w:pPr>
            <w:r/>
            <w:r>
              <w:rPr>
                <w:b w:val="0"/>
                <w:sz w:val="15"/>
              </w:rPr>
              <w:t>Sugerencias, validación visual, alertas, predicción</w:t>
            </w:r>
          </w:p>
        </w:tc>
        <w:tc>
          <w:tcPr>
            <w:tcW w:type="dxa" w:w="1872"/>
            <w:vAlign w:val="top"/>
          </w:tcPr>
          <w:p>
            <w:pPr>
              <w:jc w:val="left"/>
            </w:pPr>
            <w:r/>
            <w:r>
              <w:rPr>
                <w:b w:val="0"/>
                <w:sz w:val="15"/>
              </w:rPr>
              <w:t>Futuro / experimental controlado</w:t>
            </w:r>
          </w:p>
        </w:tc>
      </w:tr>
    </w:tbl>
    <w:p/>
    <w:p>
      <w:pPr>
        <w:pStyle w:val="Heading1"/>
      </w:pPr>
      <w:r>
        <w:t>6. EDT del proyecto y entregables esperados</w:t>
      </w:r>
    </w:p>
    <w:p>
      <w:r>
        <w:t>La siguiente EDT organiza el trabajo para completar el ERS y orientar la implementación asistida por IA. Puede usarse como índice maestro de historias, documentos y PRs.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792"/>
            <w:vAlign w:val="top"/>
            <w:shd w:fill="1F4E79"/>
          </w:tcPr>
          <w:p>
            <w:pPr>
              <w:jc w:val="left"/>
            </w:pPr>
            <w:r/>
            <w:r>
              <w:rPr>
                <w:b/>
                <w:color w:val="FFFFFF"/>
                <w:sz w:val="15"/>
              </w:rPr>
              <w:t>EDT</w:t>
            </w:r>
          </w:p>
        </w:tc>
        <w:tc>
          <w:tcPr>
            <w:tcW w:type="dxa" w:w="2376"/>
            <w:vAlign w:val="top"/>
            <w:shd w:fill="1F4E79"/>
          </w:tcPr>
          <w:p>
            <w:pPr>
              <w:jc w:val="left"/>
            </w:pPr>
            <w:r/>
            <w:r>
              <w:rPr>
                <w:b/>
                <w:color w:val="FFFFFF"/>
                <w:sz w:val="15"/>
              </w:rPr>
              <w:t>Paquete</w:t>
            </w:r>
          </w:p>
        </w:tc>
        <w:tc>
          <w:tcPr>
            <w:tcW w:type="dxa" w:w="4320"/>
            <w:vAlign w:val="top"/>
            <w:shd w:fill="1F4E79"/>
          </w:tcPr>
          <w:p>
            <w:pPr>
              <w:jc w:val="left"/>
            </w:pPr>
            <w:r/>
            <w:r>
              <w:rPr>
                <w:b/>
                <w:color w:val="FFFFFF"/>
                <w:sz w:val="15"/>
              </w:rPr>
              <w:t>Alcance</w:t>
            </w:r>
          </w:p>
        </w:tc>
        <w:tc>
          <w:tcPr>
            <w:tcW w:type="dxa" w:w="3312"/>
            <w:vAlign w:val="top"/>
            <w:shd w:fill="1F4E79"/>
          </w:tcPr>
          <w:p>
            <w:pPr>
              <w:jc w:val="left"/>
            </w:pPr>
            <w:r/>
            <w:r>
              <w:rPr>
                <w:b/>
                <w:color w:val="FFFFFF"/>
                <w:sz w:val="15"/>
              </w:rPr>
              <w:t>Entregable</w:t>
            </w:r>
          </w:p>
        </w:tc>
      </w:tr>
      <w:tr>
        <w:tc>
          <w:tcPr>
            <w:tcW w:type="dxa" w:w="792"/>
            <w:vAlign w:val="top"/>
          </w:tcPr>
          <w:p>
            <w:pPr>
              <w:jc w:val="left"/>
            </w:pPr>
            <w:r/>
            <w:r>
              <w:rPr>
                <w:b w:val="0"/>
                <w:sz w:val="15"/>
              </w:rPr>
              <w:t>1.0</w:t>
            </w:r>
          </w:p>
        </w:tc>
        <w:tc>
          <w:tcPr>
            <w:tcW w:type="dxa" w:w="2376"/>
            <w:vAlign w:val="top"/>
          </w:tcPr>
          <w:p>
            <w:pPr>
              <w:jc w:val="left"/>
            </w:pPr>
            <w:r/>
            <w:r>
              <w:rPr>
                <w:b w:val="0"/>
                <w:sz w:val="15"/>
              </w:rPr>
              <w:t>Gobierno del ERS</w:t>
            </w:r>
          </w:p>
        </w:tc>
        <w:tc>
          <w:tcPr>
            <w:tcW w:type="dxa" w:w="4320"/>
            <w:vAlign w:val="top"/>
          </w:tcPr>
          <w:p>
            <w:pPr>
              <w:spacing w:after="0"/>
              <w:jc w:val="left"/>
            </w:pPr>
            <w:r/>
            <w:r>
              <w:rPr>
                <w:b w:val="0"/>
                <w:sz w:val="15"/>
              </w:rPr>
              <w:t>Definir objetivo, alcance, glosario, stakeholders, fuentes, decisiones abiertas y control de versiones.</w:t>
            </w:r>
          </w:p>
        </w:tc>
        <w:tc>
          <w:tcPr>
            <w:tcW w:type="dxa" w:w="3312"/>
            <w:vAlign w:val="top"/>
          </w:tcPr>
          <w:p>
            <w:pPr>
              <w:jc w:val="left"/>
            </w:pPr>
            <w:r/>
            <w:r>
              <w:rPr>
                <w:b w:val="0"/>
                <w:sz w:val="15"/>
              </w:rPr>
              <w:t>ERS base, glosario, matriz de fuentes, decision log.</w:t>
            </w:r>
          </w:p>
        </w:tc>
      </w:tr>
      <w:tr>
        <w:tc>
          <w:tcPr>
            <w:tcW w:type="dxa" w:w="792"/>
            <w:vAlign w:val="top"/>
          </w:tcPr>
          <w:p>
            <w:pPr>
              <w:jc w:val="left"/>
            </w:pPr>
            <w:r/>
            <w:r>
              <w:rPr>
                <w:b w:val="0"/>
                <w:sz w:val="15"/>
              </w:rPr>
              <w:t>2.0</w:t>
            </w:r>
          </w:p>
        </w:tc>
        <w:tc>
          <w:tcPr>
            <w:tcW w:type="dxa" w:w="2376"/>
            <w:vAlign w:val="top"/>
          </w:tcPr>
          <w:p>
            <w:pPr>
              <w:jc w:val="left"/>
            </w:pPr>
            <w:r/>
            <w:r>
              <w:rPr>
                <w:b w:val="0"/>
                <w:sz w:val="15"/>
              </w:rPr>
              <w:t>Arquitectura de solución</w:t>
            </w:r>
          </w:p>
        </w:tc>
        <w:tc>
          <w:tcPr>
            <w:tcW w:type="dxa" w:w="4320"/>
            <w:vAlign w:val="top"/>
          </w:tcPr>
          <w:p>
            <w:pPr>
              <w:spacing w:after="0"/>
              <w:jc w:val="left"/>
            </w:pPr>
            <w:r/>
            <w:r>
              <w:rPr>
                <w:b w:val="0"/>
                <w:sz w:val="15"/>
              </w:rPr>
              <w:t>Documentar monorepo, contratos, API, apps, persistencia, storage, workflows, IA futura y despliegues independientes.</w:t>
            </w:r>
          </w:p>
        </w:tc>
        <w:tc>
          <w:tcPr>
            <w:tcW w:type="dxa" w:w="3312"/>
            <w:vAlign w:val="top"/>
          </w:tcPr>
          <w:p>
            <w:pPr>
              <w:jc w:val="left"/>
            </w:pPr>
            <w:r/>
            <w:r>
              <w:rPr>
                <w:b w:val="0"/>
                <w:sz w:val="15"/>
              </w:rPr>
              <w:t>Sección arquitectura, diagramas C4 simplificados, reglas de dependencia.</w:t>
            </w:r>
          </w:p>
        </w:tc>
      </w:tr>
      <w:tr>
        <w:tc>
          <w:tcPr>
            <w:tcW w:type="dxa" w:w="792"/>
            <w:vAlign w:val="top"/>
          </w:tcPr>
          <w:p>
            <w:pPr>
              <w:jc w:val="left"/>
            </w:pPr>
            <w:r/>
            <w:r>
              <w:rPr>
                <w:b w:val="0"/>
                <w:sz w:val="15"/>
              </w:rPr>
              <w:t>3.0</w:t>
            </w:r>
          </w:p>
        </w:tc>
        <w:tc>
          <w:tcPr>
            <w:tcW w:type="dxa" w:w="2376"/>
            <w:vAlign w:val="top"/>
          </w:tcPr>
          <w:p>
            <w:pPr>
              <w:jc w:val="left"/>
            </w:pPr>
            <w:r/>
            <w:r>
              <w:rPr>
                <w:b w:val="0"/>
                <w:sz w:val="15"/>
              </w:rPr>
              <w:t>Modelo de datos</w:t>
            </w:r>
          </w:p>
        </w:tc>
        <w:tc>
          <w:tcPr>
            <w:tcW w:type="dxa" w:w="4320"/>
            <w:vAlign w:val="top"/>
          </w:tcPr>
          <w:p>
            <w:pPr>
              <w:spacing w:after="0"/>
              <w:jc w:val="left"/>
            </w:pPr>
            <w:r/>
            <w:r>
              <w:rPr>
                <w:b w:val="0"/>
                <w:sz w:val="15"/>
              </w:rPr>
              <w:t>Consolidar ERD conceptual y segmentado por dominio; alinear DDL, TypeORM y contratos.</w:t>
            </w:r>
          </w:p>
        </w:tc>
        <w:tc>
          <w:tcPr>
            <w:tcW w:type="dxa" w:w="3312"/>
            <w:vAlign w:val="top"/>
          </w:tcPr>
          <w:p>
            <w:pPr>
              <w:jc w:val="left"/>
            </w:pPr>
            <w:r/>
            <w:r>
              <w:rPr>
                <w:b w:val="0"/>
                <w:sz w:val="15"/>
              </w:rPr>
              <w:t>ERDs, diccionario de datos, estrategia de migraciones, seeds.</w:t>
            </w:r>
          </w:p>
        </w:tc>
      </w:tr>
      <w:tr>
        <w:tc>
          <w:tcPr>
            <w:tcW w:type="dxa" w:w="792"/>
            <w:vAlign w:val="top"/>
          </w:tcPr>
          <w:p>
            <w:pPr>
              <w:jc w:val="left"/>
            </w:pPr>
            <w:r/>
            <w:r>
              <w:rPr>
                <w:b w:val="0"/>
                <w:sz w:val="15"/>
              </w:rPr>
              <w:t>4.0</w:t>
            </w:r>
          </w:p>
        </w:tc>
        <w:tc>
          <w:tcPr>
            <w:tcW w:type="dxa" w:w="2376"/>
            <w:vAlign w:val="top"/>
          </w:tcPr>
          <w:p>
            <w:pPr>
              <w:jc w:val="left"/>
            </w:pPr>
            <w:r/>
            <w:r>
              <w:rPr>
                <w:b w:val="0"/>
                <w:sz w:val="15"/>
              </w:rPr>
              <w:t>Core transversal</w:t>
            </w:r>
          </w:p>
        </w:tc>
        <w:tc>
          <w:tcPr>
            <w:tcW w:type="dxa" w:w="4320"/>
            <w:vAlign w:val="top"/>
          </w:tcPr>
          <w:p>
            <w:pPr>
              <w:spacing w:after="0"/>
              <w:jc w:val="left"/>
            </w:pPr>
            <w:r/>
            <w:r>
              <w:rPr>
                <w:b w:val="0"/>
                <w:sz w:val="15"/>
              </w:rPr>
              <w:t>Organización, usuarios, roles, permisos, áreas, empresas, evidencias, archivos, comentarios, auditoría.</w:t>
            </w:r>
          </w:p>
        </w:tc>
        <w:tc>
          <w:tcPr>
            <w:tcW w:type="dxa" w:w="3312"/>
            <w:vAlign w:val="top"/>
          </w:tcPr>
          <w:p>
            <w:pPr>
              <w:jc w:val="left"/>
            </w:pPr>
            <w:r/>
            <w:r>
              <w:rPr>
                <w:b w:val="0"/>
                <w:sz w:val="15"/>
              </w:rPr>
              <w:t>Requerimientos funcionales y no funcionales transversales.</w:t>
            </w:r>
          </w:p>
        </w:tc>
      </w:tr>
      <w:tr>
        <w:tc>
          <w:tcPr>
            <w:tcW w:type="dxa" w:w="792"/>
            <w:vAlign w:val="top"/>
          </w:tcPr>
          <w:p>
            <w:pPr>
              <w:jc w:val="left"/>
            </w:pPr>
            <w:r/>
            <w:r>
              <w:rPr>
                <w:b w:val="0"/>
                <w:sz w:val="15"/>
              </w:rPr>
              <w:t>5.0</w:t>
            </w:r>
          </w:p>
        </w:tc>
        <w:tc>
          <w:tcPr>
            <w:tcW w:type="dxa" w:w="2376"/>
            <w:vAlign w:val="top"/>
          </w:tcPr>
          <w:p>
            <w:pPr>
              <w:jc w:val="left"/>
            </w:pPr>
            <w:r/>
            <w:r>
              <w:rPr>
                <w:b w:val="0"/>
                <w:sz w:val="15"/>
              </w:rPr>
              <w:t>Workflows y estados</w:t>
            </w:r>
          </w:p>
        </w:tc>
        <w:tc>
          <w:tcPr>
            <w:tcW w:type="dxa" w:w="4320"/>
            <w:vAlign w:val="top"/>
          </w:tcPr>
          <w:p>
            <w:pPr>
              <w:spacing w:after="0"/>
              <w:jc w:val="left"/>
            </w:pPr>
            <w:r/>
            <w:r>
              <w:rPr>
                <w:b w:val="0"/>
                <w:sz w:val="15"/>
              </w:rPr>
              <w:t>Definir estados por dominio, aprobaciones, devoluciones, cierres, SLA, historial y notificaciones.</w:t>
            </w:r>
          </w:p>
        </w:tc>
        <w:tc>
          <w:tcPr>
            <w:tcW w:type="dxa" w:w="3312"/>
            <w:vAlign w:val="top"/>
          </w:tcPr>
          <w:p>
            <w:pPr>
              <w:jc w:val="left"/>
            </w:pPr>
            <w:r/>
            <w:r>
              <w:rPr>
                <w:b w:val="0"/>
                <w:sz w:val="15"/>
              </w:rPr>
              <w:t>Matriz de estados/transiciones y reglas de notificación.</w:t>
            </w:r>
          </w:p>
        </w:tc>
      </w:tr>
      <w:tr>
        <w:tc>
          <w:tcPr>
            <w:tcW w:type="dxa" w:w="792"/>
            <w:vAlign w:val="top"/>
          </w:tcPr>
          <w:p>
            <w:pPr>
              <w:jc w:val="left"/>
            </w:pPr>
            <w:r/>
            <w:r>
              <w:rPr>
                <w:b w:val="0"/>
                <w:sz w:val="15"/>
              </w:rPr>
              <w:t>6.0</w:t>
            </w:r>
          </w:p>
        </w:tc>
        <w:tc>
          <w:tcPr>
            <w:tcW w:type="dxa" w:w="2376"/>
            <w:vAlign w:val="top"/>
          </w:tcPr>
          <w:p>
            <w:pPr>
              <w:jc w:val="left"/>
            </w:pPr>
            <w:r/>
            <w:r>
              <w:rPr>
                <w:b w:val="0"/>
                <w:sz w:val="15"/>
              </w:rPr>
              <w:t>Módulos operativos</w:t>
            </w:r>
          </w:p>
        </w:tc>
        <w:tc>
          <w:tcPr>
            <w:tcW w:type="dxa" w:w="4320"/>
            <w:vAlign w:val="top"/>
          </w:tcPr>
          <w:p>
            <w:pPr>
              <w:jc w:val="left"/>
            </w:pPr>
            <w:r/>
            <w:r>
              <w:rPr>
                <w:b w:val="0"/>
                <w:sz w:val="15"/>
              </w:rPr>
              <w:t>Inspecciones, incidentes, controles críticos/MUE, SPR, emisiones.</w:t>
            </w:r>
          </w:p>
        </w:tc>
        <w:tc>
          <w:tcPr>
            <w:tcW w:type="dxa" w:w="3312"/>
            <w:vAlign w:val="top"/>
          </w:tcPr>
          <w:p>
            <w:pPr>
              <w:jc w:val="left"/>
            </w:pPr>
            <w:r/>
            <w:r>
              <w:rPr>
                <w:b w:val="0"/>
                <w:sz w:val="15"/>
              </w:rPr>
              <w:t>RF por módulo, reglas, validaciones, endpoints y criterios de aceptación.</w:t>
            </w:r>
          </w:p>
        </w:tc>
      </w:tr>
      <w:tr>
        <w:tc>
          <w:tcPr>
            <w:tcW w:type="dxa" w:w="792"/>
            <w:vAlign w:val="top"/>
          </w:tcPr>
          <w:p>
            <w:pPr>
              <w:jc w:val="left"/>
            </w:pPr>
            <w:r/>
            <w:r>
              <w:rPr>
                <w:b w:val="0"/>
                <w:sz w:val="15"/>
              </w:rPr>
              <w:t>7.0</w:t>
            </w:r>
          </w:p>
        </w:tc>
        <w:tc>
          <w:tcPr>
            <w:tcW w:type="dxa" w:w="2376"/>
            <w:vAlign w:val="top"/>
          </w:tcPr>
          <w:p>
            <w:pPr>
              <w:jc w:val="left"/>
            </w:pPr>
            <w:r/>
            <w:r>
              <w:rPr>
                <w:b w:val="0"/>
                <w:sz w:val="15"/>
              </w:rPr>
              <w:t>Aplicaciones cliente</w:t>
            </w:r>
          </w:p>
        </w:tc>
        <w:tc>
          <w:tcPr>
            <w:tcW w:type="dxa" w:w="4320"/>
            <w:vAlign w:val="top"/>
          </w:tcPr>
          <w:p>
            <w:pPr>
              <w:spacing w:after="0"/>
              <w:jc w:val="left"/>
            </w:pPr>
            <w:r/>
            <w:r>
              <w:rPr>
                <w:b w:val="0"/>
                <w:sz w:val="15"/>
              </w:rPr>
              <w:t>Web por roles, mobile inspecciones, mobile incidentes, integración de diseños Figma Make.</w:t>
            </w:r>
          </w:p>
        </w:tc>
        <w:tc>
          <w:tcPr>
            <w:tcW w:type="dxa" w:w="3312"/>
            <w:vAlign w:val="top"/>
          </w:tcPr>
          <w:p>
            <w:pPr>
              <w:jc w:val="left"/>
            </w:pPr>
            <w:r/>
            <w:r>
              <w:rPr>
                <w:b w:val="0"/>
                <w:sz w:val="15"/>
              </w:rPr>
              <w:t>Rutas, pantallas, componentes, estados UI, services/hooks, offline.</w:t>
            </w:r>
          </w:p>
        </w:tc>
      </w:tr>
      <w:tr>
        <w:tc>
          <w:tcPr>
            <w:tcW w:type="dxa" w:w="792"/>
            <w:vAlign w:val="top"/>
          </w:tcPr>
          <w:p>
            <w:pPr>
              <w:jc w:val="left"/>
            </w:pPr>
            <w:r/>
            <w:r>
              <w:rPr>
                <w:b w:val="0"/>
                <w:sz w:val="15"/>
              </w:rPr>
              <w:t>8.0</w:t>
            </w:r>
          </w:p>
        </w:tc>
        <w:tc>
          <w:tcPr>
            <w:tcW w:type="dxa" w:w="2376"/>
            <w:vAlign w:val="top"/>
          </w:tcPr>
          <w:p>
            <w:pPr>
              <w:jc w:val="left"/>
            </w:pPr>
            <w:r/>
            <w:r>
              <w:rPr>
                <w:b w:val="0"/>
                <w:sz w:val="15"/>
              </w:rPr>
              <w:t>Reportabilidad</w:t>
            </w:r>
          </w:p>
        </w:tc>
        <w:tc>
          <w:tcPr>
            <w:tcW w:type="dxa" w:w="4320"/>
            <w:vAlign w:val="top"/>
          </w:tcPr>
          <w:p>
            <w:pPr>
              <w:spacing w:after="0"/>
              <w:jc w:val="left"/>
            </w:pPr>
            <w:r/>
            <w:r>
              <w:rPr>
                <w:b w:val="0"/>
                <w:sz w:val="15"/>
              </w:rPr>
              <w:t>Dashboards, filtros, KPIs, exportaciones PDF, vistas SQL y reportes semanales/mensuales.</w:t>
            </w:r>
          </w:p>
        </w:tc>
        <w:tc>
          <w:tcPr>
            <w:tcW w:type="dxa" w:w="3312"/>
            <w:vAlign w:val="top"/>
          </w:tcPr>
          <w:p>
            <w:pPr>
              <w:jc w:val="left"/>
            </w:pPr>
            <w:r/>
            <w:r>
              <w:rPr>
                <w:b w:val="0"/>
                <w:sz w:val="15"/>
              </w:rPr>
              <w:t>Matriz de KPIs, endpoints de summary, vistas/materialized views futuras.</w:t>
            </w:r>
          </w:p>
        </w:tc>
      </w:tr>
      <w:tr>
        <w:tc>
          <w:tcPr>
            <w:tcW w:type="dxa" w:w="792"/>
            <w:vAlign w:val="top"/>
          </w:tcPr>
          <w:p>
            <w:pPr>
              <w:jc w:val="left"/>
            </w:pPr>
            <w:r/>
            <w:r>
              <w:rPr>
                <w:b w:val="0"/>
                <w:sz w:val="15"/>
              </w:rPr>
              <w:t>9.0</w:t>
            </w:r>
          </w:p>
        </w:tc>
        <w:tc>
          <w:tcPr>
            <w:tcW w:type="dxa" w:w="2376"/>
            <w:vAlign w:val="top"/>
          </w:tcPr>
          <w:p>
            <w:pPr>
              <w:jc w:val="left"/>
            </w:pPr>
            <w:r/>
            <w:r>
              <w:rPr>
                <w:b w:val="0"/>
                <w:sz w:val="15"/>
              </w:rPr>
              <w:t>Calidad y validación</w:t>
            </w:r>
          </w:p>
        </w:tc>
        <w:tc>
          <w:tcPr>
            <w:tcW w:type="dxa" w:w="4320"/>
            <w:vAlign w:val="top"/>
          </w:tcPr>
          <w:p>
            <w:pPr>
              <w:spacing w:after="0"/>
              <w:jc w:val="left"/>
            </w:pPr>
            <w:r/>
            <w:r>
              <w:rPr>
                <w:b w:val="0"/>
                <w:sz w:val="15"/>
              </w:rPr>
              <w:t>Comandos, lint, build, tests, migraciones, seeds, PR checks, DoD por tipo de cambio.</w:t>
            </w:r>
          </w:p>
        </w:tc>
        <w:tc>
          <w:tcPr>
            <w:tcW w:type="dxa" w:w="3312"/>
            <w:vAlign w:val="top"/>
          </w:tcPr>
          <w:p>
            <w:pPr>
              <w:jc w:val="left"/>
            </w:pPr>
            <w:r/>
            <w:r>
              <w:rPr>
                <w:b w:val="0"/>
                <w:sz w:val="15"/>
              </w:rPr>
              <w:t>Checklist de validación y pipeline esperado.</w:t>
            </w:r>
          </w:p>
        </w:tc>
      </w:tr>
      <w:tr>
        <w:tc>
          <w:tcPr>
            <w:tcW w:type="dxa" w:w="792"/>
            <w:vAlign w:val="top"/>
          </w:tcPr>
          <w:p>
            <w:pPr>
              <w:jc w:val="left"/>
            </w:pPr>
            <w:r/>
            <w:r>
              <w:rPr>
                <w:b w:val="0"/>
                <w:sz w:val="15"/>
              </w:rPr>
              <w:t>10.0</w:t>
            </w:r>
          </w:p>
        </w:tc>
        <w:tc>
          <w:tcPr>
            <w:tcW w:type="dxa" w:w="2376"/>
            <w:vAlign w:val="top"/>
          </w:tcPr>
          <w:p>
            <w:pPr>
              <w:jc w:val="left"/>
            </w:pPr>
            <w:r/>
            <w:r>
              <w:rPr>
                <w:b w:val="0"/>
                <w:sz w:val="15"/>
              </w:rPr>
              <w:t>Playbook IA</w:t>
            </w:r>
          </w:p>
        </w:tc>
        <w:tc>
          <w:tcPr>
            <w:tcW w:type="dxa" w:w="4320"/>
            <w:vAlign w:val="top"/>
          </w:tcPr>
          <w:p>
            <w:pPr>
              <w:spacing w:after="0"/>
              <w:jc w:val="left"/>
            </w:pPr>
            <w:r/>
            <w:r>
              <w:rPr>
                <w:b w:val="0"/>
                <w:sz w:val="15"/>
              </w:rPr>
              <w:t>Estandarizar prompts, documentos obligatorios por solicitud, guardrails, QA de agentes y revisión humana.</w:t>
            </w:r>
          </w:p>
        </w:tc>
        <w:tc>
          <w:tcPr>
            <w:tcW w:type="dxa" w:w="3312"/>
            <w:vAlign w:val="top"/>
          </w:tcPr>
          <w:p>
            <w:pPr>
              <w:jc w:val="left"/>
            </w:pPr>
            <w:r/>
            <w:r>
              <w:rPr>
                <w:b w:val="0"/>
                <w:sz w:val="15"/>
              </w:rPr>
              <w:t>Plantillas de prompts y matriz de lectura de .md.</w:t>
            </w:r>
          </w:p>
        </w:tc>
      </w:tr>
    </w:tbl>
    <w:p/>
    <w:p>
      <w:pPr>
        <w:pStyle w:val="Heading1"/>
      </w:pPr>
      <w:r>
        <w:t>7. ERD segmentados para comprensión del dominio</w:t>
      </w:r>
    </w:p>
    <w:p>
      <w:r>
        <w:t>Los siguientes ERD segmentados deben incorporarse al ERS como soporte visual. No buscan reemplazar el DDL, sino ayudar al equipo a entender relaciones, dependencias transversales y límites de cada módulo.</w:t>
      </w:r>
    </w:p>
    <w:p>
      <w:pPr>
        <w:pStyle w:val="Heading2"/>
      </w:pPr>
      <w:r>
        <w:t>7.1 Core organizacional, usuarios y permisos</w:t>
      </w:r>
    </w:p>
    <w:p>
      <w:r>
        <w:t>Base para todos los filtros, permisos, responsables, empresas colaboradoras y segmentación por gerencia/área.</w:t>
      </w:r>
    </w:p>
    <w:p>
      <w:r>
        <w:drawing>
          <wp:inline xmlns:a="http://schemas.openxmlformats.org/drawingml/2006/main" xmlns:pic="http://schemas.openxmlformats.org/drawingml/2006/picture">
            <wp:extent cx="6492240" cy="4149816"/>
            <wp:docPr id="2" name="Picture 2"/>
            <wp:cNvGraphicFramePr>
              <a:graphicFrameLocks noChangeAspect="1"/>
            </wp:cNvGraphicFramePr>
            <a:graphic>
              <a:graphicData uri="http://schemas.openxmlformats.org/drawingml/2006/picture">
                <pic:pic>
                  <pic:nvPicPr>
                    <pic:cNvPr id="0" name="02_erd_core.png"/>
                    <pic:cNvPicPr/>
                  </pic:nvPicPr>
                  <pic:blipFill>
                    <a:blip r:embed="rId10"/>
                    <a:stretch>
                      <a:fillRect/>
                    </a:stretch>
                  </pic:blipFill>
                  <pic:spPr>
                    <a:xfrm>
                      <a:off x="0" y="0"/>
                      <a:ext cx="6492240" cy="4149816"/>
                    </a:xfrm>
                    <a:prstGeom prst="rect"/>
                  </pic:spPr>
                </pic:pic>
              </a:graphicData>
            </a:graphic>
          </wp:inline>
        </w:drawing>
      </w:r>
    </w:p>
    <w:p>
      <w:pPr>
        <w:jc w:val="center"/>
      </w:pPr>
      <w:r>
        <w:rPr>
          <w:i/>
        </w:rPr>
        <w:t>Figura - ERD segmentado: Core organizacional, usuarios y permisos.</w:t>
      </w:r>
    </w:p>
    <w:p>
      <w:pPr>
        <w:pStyle w:val="Heading2"/>
      </w:pPr>
      <w:r>
        <w:t>7.2 Capa transversal de evidencias, auditoría, workflow y notificaciones</w:t>
      </w:r>
    </w:p>
    <w:p>
      <w:r>
        <w:t>Permite reutilizar adjuntos, comentarios, transiciones y alertas sin duplicar tablas por módulo.</w:t>
      </w:r>
    </w:p>
    <w:p>
      <w:r>
        <w:drawing>
          <wp:inline xmlns:a="http://schemas.openxmlformats.org/drawingml/2006/main" xmlns:pic="http://schemas.openxmlformats.org/drawingml/2006/picture">
            <wp:extent cx="6492240" cy="4233125"/>
            <wp:docPr id="3" name="Picture 3"/>
            <wp:cNvGraphicFramePr>
              <a:graphicFrameLocks noChangeAspect="1"/>
            </wp:cNvGraphicFramePr>
            <a:graphic>
              <a:graphicData uri="http://schemas.openxmlformats.org/drawingml/2006/picture">
                <pic:pic>
                  <pic:nvPicPr>
                    <pic:cNvPr id="0" name="03_erd_transversal.png"/>
                    <pic:cNvPicPr/>
                  </pic:nvPicPr>
                  <pic:blipFill>
                    <a:blip r:embed="rId11"/>
                    <a:stretch>
                      <a:fillRect/>
                    </a:stretch>
                  </pic:blipFill>
                  <pic:spPr>
                    <a:xfrm>
                      <a:off x="0" y="0"/>
                      <a:ext cx="6492240" cy="4233125"/>
                    </a:xfrm>
                    <a:prstGeom prst="rect"/>
                  </pic:spPr>
                </pic:pic>
              </a:graphicData>
            </a:graphic>
          </wp:inline>
        </w:drawing>
      </w:r>
    </w:p>
    <w:p>
      <w:pPr>
        <w:jc w:val="center"/>
      </w:pPr>
      <w:r>
        <w:rPr>
          <w:i/>
        </w:rPr>
        <w:t>Figura - ERD segmentado: Capa transversal de evidencias, auditoría, workflow y notificaciones.</w:t>
      </w:r>
    </w:p>
    <w:p>
      <w:pPr>
        <w:pStyle w:val="Heading2"/>
      </w:pPr>
      <w:r>
        <w:t>7.3 Inspecciones ambientales</w:t>
      </w:r>
    </w:p>
    <w:p>
      <w:r>
        <w:t>Modela checklist/hallazgo, seguimientos S1/S2/S3, evidencias, cierre y exportación PDF.</w:t>
      </w:r>
    </w:p>
    <w:p>
      <w:r>
        <w:drawing>
          <wp:inline xmlns:a="http://schemas.openxmlformats.org/drawingml/2006/main" xmlns:pic="http://schemas.openxmlformats.org/drawingml/2006/picture">
            <wp:extent cx="6492240" cy="4149816"/>
            <wp:docPr id="4" name="Picture 4"/>
            <wp:cNvGraphicFramePr>
              <a:graphicFrameLocks noChangeAspect="1"/>
            </wp:cNvGraphicFramePr>
            <a:graphic>
              <a:graphicData uri="http://schemas.openxmlformats.org/drawingml/2006/picture">
                <pic:pic>
                  <pic:nvPicPr>
                    <pic:cNvPr id="0" name="04_erd_inspections.png"/>
                    <pic:cNvPicPr/>
                  </pic:nvPicPr>
                  <pic:blipFill>
                    <a:blip r:embed="rId12"/>
                    <a:stretch>
                      <a:fillRect/>
                    </a:stretch>
                  </pic:blipFill>
                  <pic:spPr>
                    <a:xfrm>
                      <a:off x="0" y="0"/>
                      <a:ext cx="6492240" cy="4149816"/>
                    </a:xfrm>
                    <a:prstGeom prst="rect"/>
                  </pic:spPr>
                </pic:pic>
              </a:graphicData>
            </a:graphic>
          </wp:inline>
        </w:drawing>
      </w:r>
    </w:p>
    <w:p>
      <w:pPr>
        <w:jc w:val="center"/>
      </w:pPr>
      <w:r>
        <w:rPr>
          <w:i/>
        </w:rPr>
        <w:t>Figura - ERD segmentado: Inspecciones ambientales.</w:t>
      </w:r>
    </w:p>
    <w:p>
      <w:pPr>
        <w:pStyle w:val="Heading2"/>
      </w:pPr>
      <w:r>
        <w:t>7.4 Incidentes ambientales</w:t>
      </w:r>
    </w:p>
    <w:p>
      <w:r>
        <w:t>Modela Flash Report, clasificación nivel 0-5, SLA, acciones, ICAM/5 Por Qué y cierre.</w:t>
      </w:r>
    </w:p>
    <w:p>
      <w:r>
        <w:drawing>
          <wp:inline xmlns:a="http://schemas.openxmlformats.org/drawingml/2006/main" xmlns:pic="http://schemas.openxmlformats.org/drawingml/2006/picture">
            <wp:extent cx="6492240" cy="4149816"/>
            <wp:docPr id="5" name="Picture 5"/>
            <wp:cNvGraphicFramePr>
              <a:graphicFrameLocks noChangeAspect="1"/>
            </wp:cNvGraphicFramePr>
            <a:graphic>
              <a:graphicData uri="http://schemas.openxmlformats.org/drawingml/2006/picture">
                <pic:pic>
                  <pic:nvPicPr>
                    <pic:cNvPr id="0" name="05_erd_incidents.png"/>
                    <pic:cNvPicPr/>
                  </pic:nvPicPr>
                  <pic:blipFill>
                    <a:blip r:embed="rId13"/>
                    <a:stretch>
                      <a:fillRect/>
                    </a:stretch>
                  </pic:blipFill>
                  <pic:spPr>
                    <a:xfrm>
                      <a:off x="0" y="0"/>
                      <a:ext cx="6492240" cy="4149816"/>
                    </a:xfrm>
                    <a:prstGeom prst="rect"/>
                  </pic:spPr>
                </pic:pic>
              </a:graphicData>
            </a:graphic>
          </wp:inline>
        </w:drawing>
      </w:r>
    </w:p>
    <w:p>
      <w:pPr>
        <w:jc w:val="center"/>
      </w:pPr>
      <w:r>
        <w:rPr>
          <w:i/>
        </w:rPr>
        <w:t>Figura - ERD segmentado: Incidentes ambientales.</w:t>
      </w:r>
    </w:p>
    <w:p>
      <w:pPr>
        <w:pStyle w:val="Heading2"/>
      </w:pPr>
      <w:r>
        <w:t>7.5 MUE y controles críticos</w:t>
      </w:r>
    </w:p>
    <w:p>
      <w:r>
        <w:t>Vincula MUE1-MUE6 con áreas, controles, ítems verificables, autoevaluaciones y evidencias.</w:t>
      </w:r>
    </w:p>
    <w:p>
      <w:r>
        <w:drawing>
          <wp:inline xmlns:a="http://schemas.openxmlformats.org/drawingml/2006/main" xmlns:pic="http://schemas.openxmlformats.org/drawingml/2006/picture">
            <wp:extent cx="6492240" cy="4149816"/>
            <wp:docPr id="6" name="Picture 6"/>
            <wp:cNvGraphicFramePr>
              <a:graphicFrameLocks noChangeAspect="1"/>
            </wp:cNvGraphicFramePr>
            <a:graphic>
              <a:graphicData uri="http://schemas.openxmlformats.org/drawingml/2006/picture">
                <pic:pic>
                  <pic:nvPicPr>
                    <pic:cNvPr id="0" name="06_erd_mue_controls.png"/>
                    <pic:cNvPicPr/>
                  </pic:nvPicPr>
                  <pic:blipFill>
                    <a:blip r:embed="rId14"/>
                    <a:stretch>
                      <a:fillRect/>
                    </a:stretch>
                  </pic:blipFill>
                  <pic:spPr>
                    <a:xfrm>
                      <a:off x="0" y="0"/>
                      <a:ext cx="6492240" cy="4149816"/>
                    </a:xfrm>
                    <a:prstGeom prst="rect"/>
                  </pic:spPr>
                </pic:pic>
              </a:graphicData>
            </a:graphic>
          </wp:inline>
        </w:drawing>
      </w:r>
    </w:p>
    <w:p>
      <w:pPr>
        <w:jc w:val="center"/>
      </w:pPr>
      <w:r>
        <w:rPr>
          <w:i/>
        </w:rPr>
        <w:t>Figura - ERD segmentado: MUE y controles críticos.</w:t>
      </w:r>
    </w:p>
    <w:p>
      <w:pPr>
        <w:pStyle w:val="Heading2"/>
      </w:pPr>
      <w:r>
        <w:t>7.6 SPR</w:t>
      </w:r>
    </w:p>
    <w:p>
      <w:r>
        <w:t>Soporta parámetros mensuales, áreas responsables, evidencias SOX, workflow de aprobación y consolidación.</w:t>
      </w:r>
    </w:p>
    <w:p>
      <w:r>
        <w:drawing>
          <wp:inline xmlns:a="http://schemas.openxmlformats.org/drawingml/2006/main" xmlns:pic="http://schemas.openxmlformats.org/drawingml/2006/picture">
            <wp:extent cx="6492240" cy="4149816"/>
            <wp:docPr id="7" name="Picture 7"/>
            <wp:cNvGraphicFramePr>
              <a:graphicFrameLocks noChangeAspect="1"/>
            </wp:cNvGraphicFramePr>
            <a:graphic>
              <a:graphicData uri="http://schemas.openxmlformats.org/drawingml/2006/picture">
                <pic:pic>
                  <pic:nvPicPr>
                    <pic:cNvPr id="0" name="07_erd_spr.png"/>
                    <pic:cNvPicPr/>
                  </pic:nvPicPr>
                  <pic:blipFill>
                    <a:blip r:embed="rId15"/>
                    <a:stretch>
                      <a:fillRect/>
                    </a:stretch>
                  </pic:blipFill>
                  <pic:spPr>
                    <a:xfrm>
                      <a:off x="0" y="0"/>
                      <a:ext cx="6492240" cy="4149816"/>
                    </a:xfrm>
                    <a:prstGeom prst="rect"/>
                  </pic:spPr>
                </pic:pic>
              </a:graphicData>
            </a:graphic>
          </wp:inline>
        </w:drawing>
      </w:r>
    </w:p>
    <w:p>
      <w:pPr>
        <w:jc w:val="center"/>
      </w:pPr>
      <w:r>
        <w:rPr>
          <w:i/>
        </w:rPr>
        <w:t>Figura - ERD segmentado: SPR.</w:t>
      </w:r>
    </w:p>
    <w:p>
      <w:pPr>
        <w:pStyle w:val="Heading2"/>
      </w:pPr>
      <w:r>
        <w:t>7.7 Impuesto verde / emisiones</w:t>
      </w:r>
    </w:p>
    <w:p>
      <w:r>
        <w:t>Soporta fuentes fijas, actividad mensual, factores, cálculos y umbrales normativos.</w:t>
      </w:r>
    </w:p>
    <w:p>
      <w:r>
        <w:drawing>
          <wp:inline xmlns:a="http://schemas.openxmlformats.org/drawingml/2006/main" xmlns:pic="http://schemas.openxmlformats.org/drawingml/2006/picture">
            <wp:extent cx="6492240" cy="4149816"/>
            <wp:docPr id="8" name="Picture 8"/>
            <wp:cNvGraphicFramePr>
              <a:graphicFrameLocks noChangeAspect="1"/>
            </wp:cNvGraphicFramePr>
            <a:graphic>
              <a:graphicData uri="http://schemas.openxmlformats.org/drawingml/2006/picture">
                <pic:pic>
                  <pic:nvPicPr>
                    <pic:cNvPr id="0" name="08_erd_emissions.png"/>
                    <pic:cNvPicPr/>
                  </pic:nvPicPr>
                  <pic:blipFill>
                    <a:blip r:embed="rId16"/>
                    <a:stretch>
                      <a:fillRect/>
                    </a:stretch>
                  </pic:blipFill>
                  <pic:spPr>
                    <a:xfrm>
                      <a:off x="0" y="0"/>
                      <a:ext cx="6492240" cy="4149816"/>
                    </a:xfrm>
                    <a:prstGeom prst="rect"/>
                  </pic:spPr>
                </pic:pic>
              </a:graphicData>
            </a:graphic>
          </wp:inline>
        </w:drawing>
      </w:r>
    </w:p>
    <w:p>
      <w:pPr>
        <w:jc w:val="center"/>
      </w:pPr>
      <w:r>
        <w:rPr>
          <w:i/>
        </w:rPr>
        <w:t>Figura - ERD segmentado: Impuesto verde / emisiones.</w:t>
      </w:r>
    </w:p>
    <w:p>
      <w:pPr>
        <w:pStyle w:val="Heading2"/>
      </w:pPr>
      <w:r>
        <w:t>7.8 Referencia visual de trabajo con Mermaid</w:t>
      </w:r>
    </w:p>
    <w:p>
      <w:r>
        <w:t>La imagen adjunta por el equipo muestra la intención de trabajar con ERD segmentados en Mermaid para analizar módulos específicos, en este caso SPR. La recomendación es mantener esa práctica como material vivo dentro de /docs/database y anexar los diagramas relevantes al ERS.</w:t>
      </w:r>
    </w:p>
    <w:p>
      <w:r>
        <w:drawing>
          <wp:inline xmlns:a="http://schemas.openxmlformats.org/drawingml/2006/main" xmlns:pic="http://schemas.openxmlformats.org/drawingml/2006/picture">
            <wp:extent cx="6492240" cy="348957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492240" cy="3489579"/>
                    </a:xfrm>
                    <a:prstGeom prst="rect"/>
                  </pic:spPr>
                </pic:pic>
              </a:graphicData>
            </a:graphic>
          </wp:inline>
        </w:drawing>
      </w:r>
    </w:p>
    <w:p>
      <w:pPr>
        <w:jc w:val="center"/>
      </w:pPr>
      <w:r>
        <w:rPr>
          <w:i/>
        </w:rPr>
        <w:t>Figura - Referencia visual adjunta: ERD de SPR en Mermaid Live Editor.</w:t>
      </w:r>
    </w:p>
    <w:p>
      <w:pPr>
        <w:pStyle w:val="Heading1"/>
      </w:pPr>
      <w:r>
        <w:t>8. Playbook de trabajo asistido por IA</w:t>
      </w:r>
    </w:p>
    <w:p>
      <w:r>
        <w:t>Toda iteración con IA debe ser tratada como un cambio técnico controlado: contexto, alcance, archivos permitidos, restricciones, validaciones y salida esperada. El objetivo es que la IA trabaje sobre la arquitectura, no contra ella.</w:t>
      </w:r>
    </w:p>
    <w:tbl>
      <w:tblPr>
        <w:tblStyle w:val="TableGrid"/>
        <w:tblW w:type="auto" w:w="0"/>
        <w:jc w:val="center"/>
        <w:tblLook w:firstColumn="1" w:firstRow="1" w:lastColumn="0" w:lastRow="0" w:noHBand="0" w:noVBand="1" w:val="04A0"/>
      </w:tblPr>
      <w:tblGrid>
        <w:gridCol w:w="5328"/>
        <w:gridCol w:w="5328"/>
      </w:tblGrid>
      <w:tr>
        <w:tc>
          <w:tcPr>
            <w:tcW w:type="dxa" w:w="2448"/>
            <w:vAlign w:val="top"/>
            <w:shd w:fill="1F4E79"/>
          </w:tcPr>
          <w:p>
            <w:pPr>
              <w:jc w:val="left"/>
            </w:pPr>
            <w:r/>
            <w:r>
              <w:rPr>
                <w:b/>
                <w:color w:val="FFFFFF"/>
                <w:sz w:val="16"/>
              </w:rPr>
              <w:t>Principio</w:t>
            </w:r>
          </w:p>
        </w:tc>
        <w:tc>
          <w:tcPr>
            <w:tcW w:type="dxa" w:w="8352"/>
            <w:vAlign w:val="top"/>
            <w:shd w:fill="1F4E79"/>
          </w:tcPr>
          <w:p>
            <w:pPr>
              <w:jc w:val="left"/>
            </w:pPr>
            <w:r/>
            <w:r>
              <w:rPr>
                <w:b/>
                <w:color w:val="FFFFFF"/>
                <w:sz w:val="16"/>
              </w:rPr>
              <w:t>Aplicación práctica</w:t>
            </w:r>
          </w:p>
        </w:tc>
      </w:tr>
      <w:tr>
        <w:tc>
          <w:tcPr>
            <w:tcW w:type="dxa" w:w="2448"/>
            <w:vAlign w:val="top"/>
          </w:tcPr>
          <w:p>
            <w:pPr>
              <w:jc w:val="left"/>
            </w:pPr>
            <w:r/>
            <w:r>
              <w:rPr>
                <w:b w:val="0"/>
                <w:sz w:val="16"/>
              </w:rPr>
              <w:t>Contexto obligatorio</w:t>
            </w:r>
          </w:p>
        </w:tc>
        <w:tc>
          <w:tcPr>
            <w:tcW w:type="dxa" w:w="8352"/>
            <w:vAlign w:val="top"/>
          </w:tcPr>
          <w:p>
            <w:pPr>
              <w:spacing w:after="0"/>
              <w:jc w:val="left"/>
            </w:pPr>
            <w:r/>
            <w:r>
              <w:rPr>
                <w:b w:val="0"/>
                <w:sz w:val="16"/>
              </w:rPr>
              <w:t>Cada prompt debe indicar app, módulo, tipo de cambio, documentos a leer y archivos involucrados.</w:t>
            </w:r>
          </w:p>
        </w:tc>
      </w:tr>
      <w:tr>
        <w:tc>
          <w:tcPr>
            <w:tcW w:type="dxa" w:w="2448"/>
            <w:vAlign w:val="top"/>
          </w:tcPr>
          <w:p>
            <w:pPr>
              <w:jc w:val="left"/>
            </w:pPr>
            <w:r/>
            <w:r>
              <w:rPr>
                <w:b w:val="0"/>
                <w:sz w:val="16"/>
              </w:rPr>
              <w:t>Cambios pequeños</w:t>
            </w:r>
          </w:p>
        </w:tc>
        <w:tc>
          <w:tcPr>
            <w:tcW w:type="dxa" w:w="8352"/>
            <w:vAlign w:val="top"/>
          </w:tcPr>
          <w:p>
            <w:pPr>
              <w:spacing w:after="0"/>
              <w:jc w:val="left"/>
            </w:pPr>
            <w:r/>
            <w:r>
              <w:rPr>
                <w:b w:val="0"/>
                <w:sz w:val="16"/>
              </w:rPr>
              <w:t>Pedir un módulo, endpoint, pantalla o flujo por solicitud. Evitar prompts masivos que toquen todo el repo.</w:t>
            </w:r>
          </w:p>
        </w:tc>
      </w:tr>
      <w:tr>
        <w:tc>
          <w:tcPr>
            <w:tcW w:type="dxa" w:w="2448"/>
            <w:vAlign w:val="top"/>
          </w:tcPr>
          <w:p>
            <w:pPr>
              <w:jc w:val="left"/>
            </w:pPr>
            <w:r/>
            <w:r>
              <w:rPr>
                <w:b w:val="0"/>
                <w:sz w:val="16"/>
              </w:rPr>
              <w:t>Contratos primero</w:t>
            </w:r>
          </w:p>
        </w:tc>
        <w:tc>
          <w:tcPr>
            <w:tcW w:type="dxa" w:w="8352"/>
            <w:vAlign w:val="top"/>
          </w:tcPr>
          <w:p>
            <w:pPr>
              <w:spacing w:after="0"/>
              <w:jc w:val="left"/>
            </w:pPr>
            <w:r/>
            <w:r>
              <w:rPr>
                <w:b w:val="0"/>
                <w:sz w:val="16"/>
              </w:rPr>
              <w:t>Si falta un tipo de frontera HTTP, primero proponer cambio en @aurelia/contracts y luego ajustar consumidores.</w:t>
            </w:r>
          </w:p>
        </w:tc>
      </w:tr>
      <w:tr>
        <w:tc>
          <w:tcPr>
            <w:tcW w:type="dxa" w:w="2448"/>
            <w:vAlign w:val="top"/>
          </w:tcPr>
          <w:p>
            <w:pPr>
              <w:jc w:val="left"/>
            </w:pPr>
            <w:r/>
            <w:r>
              <w:rPr>
                <w:b w:val="0"/>
                <w:sz w:val="16"/>
              </w:rPr>
              <w:t>No duplicar tipos</w:t>
            </w:r>
          </w:p>
        </w:tc>
        <w:tc>
          <w:tcPr>
            <w:tcW w:type="dxa" w:w="8352"/>
            <w:vAlign w:val="top"/>
          </w:tcPr>
          <w:p>
            <w:pPr>
              <w:spacing w:after="0"/>
              <w:jc w:val="left"/>
            </w:pPr>
            <w:r/>
            <w:r>
              <w:rPr>
                <w:b w:val="0"/>
                <w:sz w:val="16"/>
              </w:rPr>
              <w:t>La IA no debe crear enums/interfaces locales si ya existen o pertenecen a contracts.</w:t>
            </w:r>
          </w:p>
        </w:tc>
      </w:tr>
      <w:tr>
        <w:tc>
          <w:tcPr>
            <w:tcW w:type="dxa" w:w="2448"/>
            <w:vAlign w:val="top"/>
          </w:tcPr>
          <w:p>
            <w:pPr>
              <w:jc w:val="left"/>
            </w:pPr>
            <w:r/>
            <w:r>
              <w:rPr>
                <w:b w:val="0"/>
                <w:sz w:val="16"/>
              </w:rPr>
              <w:t>No romper UI kit</w:t>
            </w:r>
          </w:p>
        </w:tc>
        <w:tc>
          <w:tcPr>
            <w:tcW w:type="dxa" w:w="8352"/>
            <w:vAlign w:val="top"/>
          </w:tcPr>
          <w:p>
            <w:pPr>
              <w:spacing w:after="0"/>
              <w:jc w:val="left"/>
            </w:pPr>
            <w:r/>
            <w:r>
              <w:rPr>
                <w:b w:val="0"/>
                <w:sz w:val="16"/>
              </w:rPr>
              <w:t>Figma Make debe integrar diseños con componentes existentes, tokens, grid/flex y estados loading/empty/error/success.</w:t>
            </w:r>
          </w:p>
        </w:tc>
      </w:tr>
      <w:tr>
        <w:tc>
          <w:tcPr>
            <w:tcW w:type="dxa" w:w="2448"/>
            <w:vAlign w:val="top"/>
          </w:tcPr>
          <w:p>
            <w:pPr>
              <w:jc w:val="left"/>
            </w:pPr>
            <w:r/>
            <w:r>
              <w:rPr>
                <w:b w:val="0"/>
                <w:sz w:val="16"/>
              </w:rPr>
              <w:t>No inventar migraciones</w:t>
            </w:r>
          </w:p>
        </w:tc>
        <w:tc>
          <w:tcPr>
            <w:tcW w:type="dxa" w:w="8352"/>
            <w:vAlign w:val="top"/>
          </w:tcPr>
          <w:p>
            <w:pPr>
              <w:jc w:val="left"/>
            </w:pPr>
            <w:r/>
            <w:r>
              <w:rPr>
                <w:b w:val="0"/>
                <w:sz w:val="16"/>
              </w:rPr>
              <w:t>Para BD, partir del DDL/ERD validado y generar migraciones revisables.</w:t>
            </w:r>
          </w:p>
        </w:tc>
      </w:tr>
      <w:tr>
        <w:tc>
          <w:tcPr>
            <w:tcW w:type="dxa" w:w="2448"/>
            <w:vAlign w:val="top"/>
          </w:tcPr>
          <w:p>
            <w:pPr>
              <w:jc w:val="left"/>
            </w:pPr>
            <w:r/>
            <w:r>
              <w:rPr>
                <w:b w:val="0"/>
                <w:sz w:val="16"/>
              </w:rPr>
              <w:t>Validar siempre</w:t>
            </w:r>
          </w:p>
        </w:tc>
        <w:tc>
          <w:tcPr>
            <w:tcW w:type="dxa" w:w="8352"/>
            <w:vAlign w:val="top"/>
          </w:tcPr>
          <w:p>
            <w:pPr>
              <w:jc w:val="left"/>
            </w:pPr>
            <w:r/>
            <w:r>
              <w:rPr>
                <w:b w:val="0"/>
                <w:sz w:val="16"/>
              </w:rPr>
              <w:t>Todo prompt debe pedir comandos de verificación y resumen de resultados.</w:t>
            </w:r>
          </w:p>
        </w:tc>
      </w:tr>
      <w:tr>
        <w:tc>
          <w:tcPr>
            <w:tcW w:type="dxa" w:w="2448"/>
            <w:vAlign w:val="top"/>
          </w:tcPr>
          <w:p>
            <w:pPr>
              <w:jc w:val="left"/>
            </w:pPr>
            <w:r/>
            <w:r>
              <w:rPr>
                <w:b w:val="0"/>
                <w:sz w:val="16"/>
              </w:rPr>
              <w:t>Revisión humana</w:t>
            </w:r>
          </w:p>
        </w:tc>
        <w:tc>
          <w:tcPr>
            <w:tcW w:type="dxa" w:w="8352"/>
            <w:vAlign w:val="top"/>
          </w:tcPr>
          <w:p>
            <w:pPr>
              <w:spacing w:after="0"/>
              <w:jc w:val="left"/>
            </w:pPr>
            <w:r/>
            <w:r>
              <w:rPr>
                <w:b w:val="0"/>
                <w:sz w:val="16"/>
              </w:rPr>
              <w:t>La IA puede sugerir, generar y refactorizar, pero PRs y reglas de negocio críticas requieren revisión humana.</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2016"/>
            <w:vAlign w:val="top"/>
            <w:shd w:fill="1F4E79"/>
          </w:tcPr>
          <w:p>
            <w:pPr>
              <w:jc w:val="left"/>
            </w:pPr>
            <w:r/>
            <w:r>
              <w:rPr>
                <w:b/>
                <w:color w:val="FFFFFF"/>
                <w:sz w:val="16"/>
              </w:rPr>
              <w:t>Rol de IA</w:t>
            </w:r>
          </w:p>
        </w:tc>
        <w:tc>
          <w:tcPr>
            <w:tcW w:type="dxa" w:w="4896"/>
            <w:vAlign w:val="top"/>
            <w:shd w:fill="1F4E79"/>
          </w:tcPr>
          <w:p>
            <w:pPr>
              <w:jc w:val="left"/>
            </w:pPr>
            <w:r/>
            <w:r>
              <w:rPr>
                <w:b/>
                <w:color w:val="FFFFFF"/>
                <w:sz w:val="16"/>
              </w:rPr>
              <w:t>Uso recomendado</w:t>
            </w:r>
          </w:p>
        </w:tc>
        <w:tc>
          <w:tcPr>
            <w:tcW w:type="dxa" w:w="3888"/>
            <w:vAlign w:val="top"/>
            <w:shd w:fill="1F4E79"/>
          </w:tcPr>
          <w:p>
            <w:pPr>
              <w:jc w:val="left"/>
            </w:pPr>
            <w:r/>
            <w:r>
              <w:rPr>
                <w:b/>
                <w:color w:val="FFFFFF"/>
                <w:sz w:val="16"/>
              </w:rPr>
              <w:t>No debe hacer</w:t>
            </w:r>
          </w:p>
        </w:tc>
      </w:tr>
      <w:tr>
        <w:tc>
          <w:tcPr>
            <w:tcW w:type="dxa" w:w="2016"/>
            <w:vAlign w:val="top"/>
          </w:tcPr>
          <w:p>
            <w:pPr>
              <w:jc w:val="left"/>
            </w:pPr>
            <w:r/>
            <w:r>
              <w:rPr>
                <w:b w:val="0"/>
                <w:sz w:val="16"/>
              </w:rPr>
              <w:t>Arquitecto/CTO</w:t>
            </w:r>
          </w:p>
        </w:tc>
        <w:tc>
          <w:tcPr>
            <w:tcW w:type="dxa" w:w="4896"/>
            <w:vAlign w:val="top"/>
          </w:tcPr>
          <w:p>
            <w:pPr>
              <w:jc w:val="left"/>
            </w:pPr>
            <w:r/>
            <w:r>
              <w:rPr>
                <w:b w:val="0"/>
                <w:sz w:val="16"/>
              </w:rPr>
              <w:t>Revisar consistencia, decidir límites de módulo, detectar acoplamientos y deuda.</w:t>
            </w:r>
          </w:p>
        </w:tc>
        <w:tc>
          <w:tcPr>
            <w:tcW w:type="dxa" w:w="3888"/>
            <w:vAlign w:val="top"/>
          </w:tcPr>
          <w:p>
            <w:pPr>
              <w:jc w:val="left"/>
            </w:pPr>
            <w:r/>
            <w:r>
              <w:rPr>
                <w:b w:val="0"/>
                <w:sz w:val="16"/>
              </w:rPr>
              <w:t>Escribir cambios grandes sin plan ni confirmación.</w:t>
            </w:r>
          </w:p>
        </w:tc>
      </w:tr>
      <w:tr>
        <w:tc>
          <w:tcPr>
            <w:tcW w:type="dxa" w:w="2016"/>
            <w:vAlign w:val="top"/>
          </w:tcPr>
          <w:p>
            <w:pPr>
              <w:jc w:val="left"/>
            </w:pPr>
            <w:r/>
            <w:r>
              <w:rPr>
                <w:b w:val="0"/>
                <w:sz w:val="16"/>
              </w:rPr>
              <w:t>Backend agent</w:t>
            </w:r>
          </w:p>
        </w:tc>
        <w:tc>
          <w:tcPr>
            <w:tcW w:type="dxa" w:w="4896"/>
            <w:vAlign w:val="top"/>
          </w:tcPr>
          <w:p>
            <w:pPr>
              <w:jc w:val="left"/>
            </w:pPr>
            <w:r/>
            <w:r>
              <w:rPr>
                <w:b w:val="0"/>
                <w:sz w:val="16"/>
              </w:rPr>
              <w:t>Crear DTOs, services, endpoints, entities, migraciones y tests alineados al DDL.</w:t>
            </w:r>
          </w:p>
        </w:tc>
        <w:tc>
          <w:tcPr>
            <w:tcW w:type="dxa" w:w="3888"/>
            <w:vAlign w:val="top"/>
          </w:tcPr>
          <w:p>
            <w:pPr>
              <w:jc w:val="left"/>
            </w:pPr>
            <w:r/>
            <w:r>
              <w:rPr>
                <w:b w:val="0"/>
                <w:sz w:val="16"/>
              </w:rPr>
              <w:t>Exponer entidades TypeORM ni saltarse migrations.</w:t>
            </w:r>
          </w:p>
        </w:tc>
      </w:tr>
      <w:tr>
        <w:tc>
          <w:tcPr>
            <w:tcW w:type="dxa" w:w="2016"/>
            <w:vAlign w:val="top"/>
          </w:tcPr>
          <w:p>
            <w:pPr>
              <w:jc w:val="left"/>
            </w:pPr>
            <w:r/>
            <w:r>
              <w:rPr>
                <w:b w:val="0"/>
                <w:sz w:val="16"/>
              </w:rPr>
              <w:t>Frontend agent</w:t>
            </w:r>
          </w:p>
        </w:tc>
        <w:tc>
          <w:tcPr>
            <w:tcW w:type="dxa" w:w="4896"/>
            <w:vAlign w:val="top"/>
          </w:tcPr>
          <w:p>
            <w:pPr>
              <w:jc w:val="left"/>
            </w:pPr>
            <w:r/>
            <w:r>
              <w:rPr>
                <w:b w:val="0"/>
                <w:sz w:val="16"/>
              </w:rPr>
              <w:t>Integrar vistas, hooks, services, estados UI, permisos y componentes del UI kit.</w:t>
            </w:r>
          </w:p>
        </w:tc>
        <w:tc>
          <w:tcPr>
            <w:tcW w:type="dxa" w:w="3888"/>
            <w:vAlign w:val="top"/>
          </w:tcPr>
          <w:p>
            <w:pPr>
              <w:jc w:val="left"/>
            </w:pPr>
            <w:r/>
            <w:r>
              <w:rPr>
                <w:b w:val="0"/>
                <w:sz w:val="16"/>
              </w:rPr>
              <w:t>Hacer fetch directo, duplicar server state en Zustand o usar layouts absolutos.</w:t>
            </w:r>
          </w:p>
        </w:tc>
      </w:tr>
      <w:tr>
        <w:tc>
          <w:tcPr>
            <w:tcW w:type="dxa" w:w="2016"/>
            <w:vAlign w:val="top"/>
          </w:tcPr>
          <w:p>
            <w:pPr>
              <w:jc w:val="left"/>
            </w:pPr>
            <w:r/>
            <w:r>
              <w:rPr>
                <w:b w:val="0"/>
                <w:sz w:val="16"/>
              </w:rPr>
              <w:t>Figma Make</w:t>
            </w:r>
          </w:p>
        </w:tc>
        <w:tc>
          <w:tcPr>
            <w:tcW w:type="dxa" w:w="4896"/>
            <w:vAlign w:val="top"/>
          </w:tcPr>
          <w:p>
            <w:pPr>
              <w:spacing w:after="0"/>
              <w:jc w:val="left"/>
            </w:pPr>
            <w:r/>
            <w:r>
              <w:rPr>
                <w:b w:val="0"/>
                <w:sz w:val="16"/>
              </w:rPr>
              <w:t>Convertir diseño en pantallas/componentes integrados al repo, respetando brief y tokens.</w:t>
            </w:r>
          </w:p>
        </w:tc>
        <w:tc>
          <w:tcPr>
            <w:tcW w:type="dxa" w:w="3888"/>
            <w:vAlign w:val="top"/>
          </w:tcPr>
          <w:p>
            <w:pPr>
              <w:jc w:val="left"/>
            </w:pPr>
            <w:r/>
            <w:r>
              <w:rPr>
                <w:b w:val="0"/>
                <w:sz w:val="16"/>
              </w:rPr>
              <w:t>Crear una app paralela o componentes visuales no reutilizables.</w:t>
            </w:r>
          </w:p>
        </w:tc>
      </w:tr>
      <w:tr>
        <w:tc>
          <w:tcPr>
            <w:tcW w:type="dxa" w:w="2016"/>
            <w:vAlign w:val="top"/>
          </w:tcPr>
          <w:p>
            <w:pPr>
              <w:jc w:val="left"/>
            </w:pPr>
            <w:r/>
            <w:r>
              <w:rPr>
                <w:b w:val="0"/>
                <w:sz w:val="16"/>
              </w:rPr>
              <w:t>QA agent</w:t>
            </w:r>
          </w:p>
        </w:tc>
        <w:tc>
          <w:tcPr>
            <w:tcW w:type="dxa" w:w="4896"/>
            <w:vAlign w:val="top"/>
          </w:tcPr>
          <w:p>
            <w:pPr>
              <w:spacing w:after="0"/>
              <w:jc w:val="left"/>
            </w:pPr>
            <w:r/>
            <w:r>
              <w:rPr>
                <w:b w:val="0"/>
                <w:sz w:val="16"/>
              </w:rPr>
              <w:t>Ejecutar checklist, revisar PR, detectar regresiones, proponer tests y validar comandos.</w:t>
            </w:r>
          </w:p>
        </w:tc>
        <w:tc>
          <w:tcPr>
            <w:tcW w:type="dxa" w:w="3888"/>
            <w:vAlign w:val="top"/>
          </w:tcPr>
          <w:p>
            <w:pPr>
              <w:jc w:val="left"/>
            </w:pPr>
            <w:r/>
            <w:r>
              <w:rPr>
                <w:b w:val="0"/>
                <w:sz w:val="16"/>
              </w:rPr>
              <w:t>Aprobar sin evidencia de build/lint/test.</w:t>
            </w:r>
          </w:p>
        </w:tc>
      </w:tr>
    </w:tbl>
    <w:p/>
    <w:p>
      <w:pPr>
        <w:pStyle w:val="Heading1"/>
      </w:pPr>
      <w:r>
        <w:t>9. Matriz de documentos .md que debe leer cada solicitud</w:t>
      </w:r>
    </w:p>
    <w:p>
      <w:r>
        <w:t>El prompt debe incluir explícitamente los documentos que la IA debe leer antes de modificar código. Esta matriz evita que cada agente trabaje con supuestos distintos.</w:t>
      </w:r>
    </w:p>
    <w:tbl>
      <w:tblPr>
        <w:tblStyle w:val="TableGrid"/>
        <w:tblW w:type="auto" w:w="0"/>
        <w:jc w:val="center"/>
        <w:tblLook w:firstColumn="1" w:firstRow="1" w:lastColumn="0" w:lastRow="0" w:noHBand="0" w:noVBand="1" w:val="04A0"/>
      </w:tblPr>
      <w:tblGrid>
        <w:gridCol w:w="3552"/>
        <w:gridCol w:w="3552"/>
        <w:gridCol w:w="3552"/>
      </w:tblGrid>
      <w:tr>
        <w:tc>
          <w:tcPr>
            <w:tcW w:type="dxa" w:w="2448"/>
            <w:vAlign w:val="top"/>
            <w:shd w:fill="1F4E79"/>
          </w:tcPr>
          <w:p>
            <w:pPr>
              <w:jc w:val="left"/>
            </w:pPr>
            <w:r/>
            <w:r>
              <w:rPr>
                <w:b/>
                <w:color w:val="FFFFFF"/>
                <w:sz w:val="15"/>
              </w:rPr>
              <w:t>Tipo de solicitud</w:t>
            </w:r>
          </w:p>
        </w:tc>
        <w:tc>
          <w:tcPr>
            <w:tcW w:type="dxa" w:w="5184"/>
            <w:vAlign w:val="top"/>
            <w:shd w:fill="1F4E79"/>
          </w:tcPr>
          <w:p>
            <w:pPr>
              <w:jc w:val="left"/>
            </w:pPr>
            <w:r/>
            <w:r>
              <w:rPr>
                <w:b/>
                <w:color w:val="FFFFFF"/>
                <w:sz w:val="15"/>
              </w:rPr>
              <w:t>Documentos obligatorios</w:t>
            </w:r>
          </w:p>
        </w:tc>
        <w:tc>
          <w:tcPr>
            <w:tcW w:type="dxa" w:w="3168"/>
            <w:vAlign w:val="top"/>
            <w:shd w:fill="1F4E79"/>
          </w:tcPr>
          <w:p>
            <w:pPr>
              <w:jc w:val="left"/>
            </w:pPr>
            <w:r/>
            <w:r>
              <w:rPr>
                <w:b/>
                <w:color w:val="FFFFFF"/>
                <w:sz w:val="15"/>
              </w:rPr>
              <w:t>Objetivo</w:t>
            </w:r>
          </w:p>
        </w:tc>
      </w:tr>
      <w:tr>
        <w:tc>
          <w:tcPr>
            <w:tcW w:type="dxa" w:w="2448"/>
            <w:vAlign w:val="top"/>
          </w:tcPr>
          <w:p>
            <w:pPr>
              <w:jc w:val="left"/>
            </w:pPr>
            <w:r/>
            <w:r>
              <w:rPr>
                <w:b w:val="0"/>
                <w:sz w:val="15"/>
              </w:rPr>
              <w:t>Solicitud general de contexto</w:t>
            </w:r>
          </w:p>
        </w:tc>
        <w:tc>
          <w:tcPr>
            <w:tcW w:type="dxa" w:w="5184"/>
            <w:vAlign w:val="top"/>
          </w:tcPr>
          <w:p>
            <w:pPr>
              <w:jc w:val="left"/>
            </w:pPr>
            <w:r/>
            <w:r>
              <w:rPr>
                <w:b w:val="0"/>
                <w:sz w:val="15"/>
              </w:rPr>
              <w:t>docs/PROJECT_CONTEXT.md, docs/ARCHITECTURE.md, docs/DEVELOPMENT_WORKFLOW.md</w:t>
            </w:r>
          </w:p>
        </w:tc>
        <w:tc>
          <w:tcPr>
            <w:tcW w:type="dxa" w:w="3168"/>
            <w:vAlign w:val="top"/>
          </w:tcPr>
          <w:p>
            <w:pPr>
              <w:jc w:val="left"/>
            </w:pPr>
            <w:r/>
            <w:r>
              <w:rPr>
                <w:b w:val="0"/>
                <w:sz w:val="15"/>
              </w:rPr>
              <w:t>Entender producto, stack, límites y flujo de trabajo.</w:t>
            </w:r>
          </w:p>
        </w:tc>
      </w:tr>
      <w:tr>
        <w:tc>
          <w:tcPr>
            <w:tcW w:type="dxa" w:w="2448"/>
            <w:vAlign w:val="top"/>
          </w:tcPr>
          <w:p>
            <w:pPr>
              <w:jc w:val="left"/>
            </w:pPr>
            <w:r/>
            <w:r>
              <w:rPr>
                <w:b w:val="0"/>
                <w:sz w:val="15"/>
              </w:rPr>
              <w:t>Cambio en contracts</w:t>
            </w:r>
          </w:p>
        </w:tc>
        <w:tc>
          <w:tcPr>
            <w:tcW w:type="dxa" w:w="5184"/>
            <w:vAlign w:val="top"/>
          </w:tcPr>
          <w:p>
            <w:pPr>
              <w:jc w:val="left"/>
            </w:pPr>
            <w:r/>
            <w:r>
              <w:rPr>
                <w:b w:val="0"/>
                <w:sz w:val="15"/>
              </w:rPr>
              <w:t>docs/CONTRACTS_GUIDELINES.md, docs/ARCHITECTURE.md, docs/API_GUIDELINES.md</w:t>
            </w:r>
          </w:p>
        </w:tc>
        <w:tc>
          <w:tcPr>
            <w:tcW w:type="dxa" w:w="3168"/>
            <w:vAlign w:val="top"/>
          </w:tcPr>
          <w:p>
            <w:pPr>
              <w:jc w:val="left"/>
            </w:pPr>
            <w:r/>
            <w:r>
              <w:rPr>
                <w:b w:val="0"/>
                <w:sz w:val="15"/>
              </w:rPr>
              <w:t>Agregar/ajustar enums, interfaces y DTOs sin acoplar frameworks.</w:t>
            </w:r>
          </w:p>
        </w:tc>
      </w:tr>
      <w:tr>
        <w:tc>
          <w:tcPr>
            <w:tcW w:type="dxa" w:w="2448"/>
            <w:vAlign w:val="top"/>
          </w:tcPr>
          <w:p>
            <w:pPr>
              <w:jc w:val="left"/>
            </w:pPr>
            <w:r/>
            <w:r>
              <w:rPr>
                <w:b w:val="0"/>
                <w:sz w:val="15"/>
              </w:rPr>
              <w:t>Backend API</w:t>
            </w:r>
          </w:p>
        </w:tc>
        <w:tc>
          <w:tcPr>
            <w:tcW w:type="dxa" w:w="5184"/>
            <w:vAlign w:val="top"/>
          </w:tcPr>
          <w:p>
            <w:pPr>
              <w:spacing w:after="0"/>
              <w:jc w:val="left"/>
            </w:pPr>
            <w:r/>
            <w:r>
              <w:rPr>
                <w:b w:val="0"/>
                <w:sz w:val="15"/>
              </w:rPr>
              <w:t>docs/API_GUIDELINES.md, docs/CONTRACTS_GUIDELINES.md, docs/database/04-ddl-postgres-draft.sql, docs/database/05-typeorm-entities-plan.md</w:t>
            </w:r>
          </w:p>
        </w:tc>
        <w:tc>
          <w:tcPr>
            <w:tcW w:type="dxa" w:w="3168"/>
            <w:vAlign w:val="top"/>
          </w:tcPr>
          <w:p>
            <w:pPr>
              <w:jc w:val="left"/>
            </w:pPr>
            <w:r/>
            <w:r>
              <w:rPr>
                <w:b w:val="0"/>
                <w:sz w:val="15"/>
              </w:rPr>
              <w:t>Mantener DTOs, services, mappers, entities y migraciones alineados.</w:t>
            </w:r>
          </w:p>
        </w:tc>
      </w:tr>
      <w:tr>
        <w:tc>
          <w:tcPr>
            <w:tcW w:type="dxa" w:w="2448"/>
            <w:vAlign w:val="top"/>
          </w:tcPr>
          <w:p>
            <w:pPr>
              <w:jc w:val="left"/>
            </w:pPr>
            <w:r/>
            <w:r>
              <w:rPr>
                <w:b w:val="0"/>
                <w:sz w:val="15"/>
              </w:rPr>
              <w:t>Base de datos / entidades</w:t>
            </w:r>
          </w:p>
        </w:tc>
        <w:tc>
          <w:tcPr>
            <w:tcW w:type="dxa" w:w="5184"/>
            <w:vAlign w:val="top"/>
          </w:tcPr>
          <w:p>
            <w:pPr>
              <w:spacing w:after="0"/>
              <w:jc w:val="left"/>
            </w:pPr>
            <w:r/>
            <w:r>
              <w:rPr>
                <w:b w:val="0"/>
                <w:sz w:val="15"/>
              </w:rPr>
              <w:t>docs/database/01-db-requirements.md, 02-domain-model.md, 03-erd-conceptual.md, 04-ddl-postgres-draft.sql, 05-typeorm-entities-plan.md, 06-implementation-roadmap.md</w:t>
            </w:r>
          </w:p>
        </w:tc>
        <w:tc>
          <w:tcPr>
            <w:tcW w:type="dxa" w:w="3168"/>
            <w:vAlign w:val="top"/>
          </w:tcPr>
          <w:p>
            <w:pPr>
              <w:jc w:val="left"/>
            </w:pPr>
            <w:r/>
            <w:r>
              <w:rPr>
                <w:b w:val="0"/>
                <w:sz w:val="15"/>
              </w:rPr>
              <w:t>Respetar modelo, relaciones, enums, seeds y orden de migración.</w:t>
            </w:r>
          </w:p>
        </w:tc>
      </w:tr>
      <w:tr>
        <w:tc>
          <w:tcPr>
            <w:tcW w:type="dxa" w:w="2448"/>
            <w:vAlign w:val="top"/>
          </w:tcPr>
          <w:p>
            <w:pPr>
              <w:jc w:val="left"/>
            </w:pPr>
            <w:r/>
            <w:r>
              <w:rPr>
                <w:b w:val="0"/>
                <w:sz w:val="15"/>
              </w:rPr>
              <w:t>Figma Make / web</w:t>
            </w:r>
          </w:p>
        </w:tc>
        <w:tc>
          <w:tcPr>
            <w:tcW w:type="dxa" w:w="5184"/>
            <w:vAlign w:val="top"/>
          </w:tcPr>
          <w:p>
            <w:pPr>
              <w:spacing w:after="0"/>
              <w:jc w:val="left"/>
            </w:pPr>
            <w:r/>
            <w:r>
              <w:rPr>
                <w:b w:val="0"/>
                <w:sz w:val="15"/>
              </w:rPr>
              <w:t>docs/FIGMA_MAKE_BRIEF.md, docs/FRONTEND_GUIDELINES.md, docs/UI_UX_GUIDELINES.md, docs/STATE_MANAGEMENT.md, docs/CONTRACTS_GUIDELINES.md</w:t>
            </w:r>
          </w:p>
        </w:tc>
        <w:tc>
          <w:tcPr>
            <w:tcW w:type="dxa" w:w="3168"/>
            <w:vAlign w:val="top"/>
          </w:tcPr>
          <w:p>
            <w:pPr>
              <w:jc w:val="left"/>
            </w:pPr>
            <w:r/>
            <w:r>
              <w:rPr>
                <w:b w:val="0"/>
                <w:sz w:val="15"/>
              </w:rPr>
              <w:t>Integrar diseño responsive, UI kit, services, hooks y roles.</w:t>
            </w:r>
          </w:p>
        </w:tc>
      </w:tr>
      <w:tr>
        <w:tc>
          <w:tcPr>
            <w:tcW w:type="dxa" w:w="2448"/>
            <w:vAlign w:val="top"/>
          </w:tcPr>
          <w:p>
            <w:pPr>
              <w:jc w:val="left"/>
            </w:pPr>
            <w:r/>
            <w:r>
              <w:rPr>
                <w:b w:val="0"/>
                <w:sz w:val="15"/>
              </w:rPr>
              <w:t>Mobile inspecciones/incidentes</w:t>
            </w:r>
          </w:p>
        </w:tc>
        <w:tc>
          <w:tcPr>
            <w:tcW w:type="dxa" w:w="5184"/>
            <w:vAlign w:val="top"/>
          </w:tcPr>
          <w:p>
            <w:pPr>
              <w:spacing w:after="0"/>
              <w:jc w:val="left"/>
            </w:pPr>
            <w:r/>
            <w:r>
              <w:rPr>
                <w:b w:val="0"/>
                <w:sz w:val="15"/>
              </w:rPr>
              <w:t>docs/FIGMA_MAKE_BRIEF.md, docs/MOBILE_OFFLINE_STRATEGY.md, docs/CONTRACTS_GUIDELINES.md, docs/PROJECT_CONTEXT.md</w:t>
            </w:r>
          </w:p>
        </w:tc>
        <w:tc>
          <w:tcPr>
            <w:tcW w:type="dxa" w:w="3168"/>
            <w:vAlign w:val="top"/>
          </w:tcPr>
          <w:p>
            <w:pPr>
              <w:jc w:val="left"/>
            </w:pPr>
            <w:r/>
            <w:r>
              <w:rPr>
                <w:b w:val="0"/>
                <w:sz w:val="15"/>
              </w:rPr>
              <w:t>Mantener Expo/RN, offline, GPS, evidencia y sync.</w:t>
            </w:r>
          </w:p>
        </w:tc>
      </w:tr>
      <w:tr>
        <w:tc>
          <w:tcPr>
            <w:tcW w:type="dxa" w:w="2448"/>
            <w:vAlign w:val="top"/>
          </w:tcPr>
          <w:p>
            <w:pPr>
              <w:jc w:val="left"/>
            </w:pPr>
            <w:r/>
            <w:r>
              <w:rPr>
                <w:b w:val="0"/>
                <w:sz w:val="15"/>
              </w:rPr>
              <w:t>Reportabilidad/dashboard</w:t>
            </w:r>
          </w:p>
        </w:tc>
        <w:tc>
          <w:tcPr>
            <w:tcW w:type="dxa" w:w="5184"/>
            <w:vAlign w:val="top"/>
          </w:tcPr>
          <w:p>
            <w:pPr>
              <w:spacing w:after="0"/>
              <w:jc w:val="left"/>
            </w:pPr>
            <w:r/>
            <w:r>
              <w:rPr>
                <w:b w:val="0"/>
                <w:sz w:val="15"/>
              </w:rPr>
              <w:t>docs/PROJECT_CONTEXT.md, docs/database/05-typeorm-entities-plan.md, docs/UI_UX_GUIDELINES.md, Guía Maestra de Dashboard correspondiente</w:t>
            </w:r>
          </w:p>
        </w:tc>
        <w:tc>
          <w:tcPr>
            <w:tcW w:type="dxa" w:w="3168"/>
            <w:vAlign w:val="top"/>
          </w:tcPr>
          <w:p>
            <w:pPr>
              <w:jc w:val="left"/>
            </w:pPr>
            <w:r/>
            <w:r>
              <w:rPr>
                <w:b w:val="0"/>
                <w:sz w:val="15"/>
              </w:rPr>
              <w:t>Alinear KPIs, filtros, SQL/views y visualizaciones.</w:t>
            </w:r>
          </w:p>
        </w:tc>
      </w:tr>
      <w:tr>
        <w:tc>
          <w:tcPr>
            <w:tcW w:type="dxa" w:w="2448"/>
            <w:vAlign w:val="top"/>
          </w:tcPr>
          <w:p>
            <w:pPr>
              <w:jc w:val="left"/>
            </w:pPr>
            <w:r/>
            <w:r>
              <w:rPr>
                <w:b w:val="0"/>
                <w:sz w:val="15"/>
              </w:rPr>
              <w:t>QA / PR review</w:t>
            </w:r>
          </w:p>
        </w:tc>
        <w:tc>
          <w:tcPr>
            <w:tcW w:type="dxa" w:w="5184"/>
            <w:vAlign w:val="top"/>
          </w:tcPr>
          <w:p>
            <w:pPr>
              <w:spacing w:after="0"/>
              <w:jc w:val="left"/>
            </w:pPr>
            <w:r/>
            <w:r>
              <w:rPr>
                <w:b w:val="0"/>
                <w:sz w:val="15"/>
              </w:rPr>
              <w:t>docs/DEVELOPMENT_WORKFLOW.md, docs/ARCHITECTURE.md, docs/CONTRACTS_GUIDELINES.md, docs/API_GUIDELINES.md o FRONTEND_GUIDELINES.md según aplique</w:t>
            </w:r>
          </w:p>
        </w:tc>
        <w:tc>
          <w:tcPr>
            <w:tcW w:type="dxa" w:w="3168"/>
            <w:vAlign w:val="top"/>
          </w:tcPr>
          <w:p>
            <w:pPr>
              <w:jc w:val="left"/>
            </w:pPr>
            <w:r/>
            <w:r>
              <w:rPr>
                <w:b w:val="0"/>
                <w:sz w:val="15"/>
              </w:rPr>
              <w:t>Validar comandos, restricciones y ausencia de acoplamientos.</w:t>
            </w:r>
          </w:p>
        </w:tc>
      </w:tr>
    </w:tbl>
    <w:p/>
    <w:p>
      <w:pPr>
        <w:pStyle w:val="Heading1"/>
      </w:pPr>
      <w:r>
        <w:t>10. Plantillas de prompts por tipo de tarea</w:t>
      </w:r>
    </w:p>
    <w:p>
      <w:r>
        <w:t>Cada plantilla debe adaptarse al módulo concreto. La IA debe devolver primero un plan cuando el cambio sea estructural o toque contratos, entidades o migraciones.</w:t>
      </w:r>
    </w:p>
    <w:p>
      <w:pPr>
        <w:pStyle w:val="Heading2"/>
      </w:pPr>
      <w:r>
        <w:t>10.1 Prompt base para Figma Make / integración de vista web</w:t>
      </w:r>
    </w:p>
    <w:tbl>
      <w:tblPr>
        <w:tblStyle w:val="TableGrid"/>
        <w:tblW w:type="auto" w:w="0"/>
        <w:tblLook w:firstColumn="1" w:firstRow="1" w:lastColumn="0" w:lastRow="0" w:noHBand="0" w:noVBand="1" w:val="04A0"/>
      </w:tblPr>
      <w:tblGrid>
        <w:gridCol w:w="10656"/>
      </w:tblGrid>
      <w:tr>
        <w:tc>
          <w:tcPr>
            <w:tcW w:type="dxa" w:w="10656"/>
            <w:shd w:fill="F2F2F2"/>
          </w:tcPr>
          <w:p>
            <w:pPr>
              <w:spacing w:after="0"/>
            </w:pPr>
            <w:r/>
            <w:r>
              <w:rPr>
                <w:rFonts w:ascii="Courier New" w:hAnsi="Courier New" w:eastAsia="Courier New"/>
                <w:sz w:val="14"/>
              </w:rPr>
              <w:t>Contexto: estás trabajando en el repo Aurelia. Antes de generar código, lee:</w:t>
              <w:br/>
            </w:r>
            <w:r>
              <w:rPr>
                <w:rFonts w:ascii="Courier New" w:hAnsi="Courier New" w:eastAsia="Courier New"/>
                <w:sz w:val="14"/>
              </w:rPr>
              <w:t>- docs/FIGMA_MAKE_BRIEF.md</w:t>
              <w:br/>
            </w:r>
            <w:r>
              <w:rPr>
                <w:rFonts w:ascii="Courier New" w:hAnsi="Courier New" w:eastAsia="Courier New"/>
                <w:sz w:val="14"/>
              </w:rPr>
              <w:t>- docs/FRONTEND_GUIDELINES.md</w:t>
              <w:br/>
            </w:r>
            <w:r>
              <w:rPr>
                <w:rFonts w:ascii="Courier New" w:hAnsi="Courier New" w:eastAsia="Courier New"/>
                <w:sz w:val="14"/>
              </w:rPr>
              <w:t>- docs/UI_UX_GUIDELINES.md</w:t>
              <w:br/>
            </w:r>
            <w:r>
              <w:rPr>
                <w:rFonts w:ascii="Courier New" w:hAnsi="Courier New" w:eastAsia="Courier New"/>
                <w:sz w:val="14"/>
              </w:rPr>
              <w:t>- docs/STATE_MANAGEMENT.md</w:t>
              <w:br/>
            </w:r>
            <w:r>
              <w:rPr>
                <w:rFonts w:ascii="Courier New" w:hAnsi="Courier New" w:eastAsia="Courier New"/>
                <w:sz w:val="14"/>
              </w:rPr>
              <w:t>- docs/CONTRACTS_GUIDELINES.md</w:t>
              <w:br/>
            </w:r>
            <w:r>
              <w:rPr>
                <w:rFonts w:ascii="Courier New" w:hAnsi="Courier New" w:eastAsia="Courier New"/>
                <w:sz w:val="14"/>
              </w:rPr>
              <w:br/>
            </w:r>
            <w:r>
              <w:rPr>
                <w:rFonts w:ascii="Courier New" w:hAnsi="Courier New" w:eastAsia="Courier New"/>
                <w:sz w:val="14"/>
              </w:rPr>
              <w:t>App objetivo: apps/web</w:t>
              <w:br/>
            </w:r>
            <w:r>
              <w:rPr>
                <w:rFonts w:ascii="Courier New" w:hAnsi="Courier New" w:eastAsia="Courier New"/>
                <w:sz w:val="14"/>
              </w:rPr>
              <w:t>Módulo: &lt;dashboard | inspections | incidents | critical-controls | reports | admin | spr | emissions&gt;</w:t>
              <w:br/>
            </w:r>
            <w:r>
              <w:rPr>
                <w:rFonts w:ascii="Courier New" w:hAnsi="Courier New" w:eastAsia="Courier New"/>
                <w:sz w:val="14"/>
              </w:rPr>
              <w:t>Tipo de tarea: integrar diseño Figma en una pantalla existente / nueva pantalla / componente reutilizable.</w:t>
              <w:br/>
            </w:r>
            <w:r>
              <w:rPr>
                <w:rFonts w:ascii="Courier New" w:hAnsi="Courier New" w:eastAsia="Courier New"/>
                <w:sz w:val="14"/>
              </w:rPr>
              <w:br/>
            </w:r>
            <w:r>
              <w:rPr>
                <w:rFonts w:ascii="Courier New" w:hAnsi="Courier New" w:eastAsia="Courier New"/>
                <w:sz w:val="14"/>
              </w:rPr>
              <w:t>Reglas obligatorias:</w:t>
              <w:br/>
            </w:r>
            <w:r>
              <w:rPr>
                <w:rFonts w:ascii="Courier New" w:hAnsi="Courier New" w:eastAsia="Courier New"/>
                <w:sz w:val="14"/>
              </w:rPr>
              <w:t>- No usar posiciones absolutas ni anchos fijos para layout principal.</w:t>
              <w:br/>
            </w:r>
            <w:r>
              <w:rPr>
                <w:rFonts w:ascii="Courier New" w:hAnsi="Courier New" w:eastAsia="Courier New"/>
                <w:sz w:val="14"/>
              </w:rPr>
              <w:t>- Usar Tailwind grid/flex, tokens theme.css y shadcn/ui existente.</w:t>
              <w:br/>
            </w:r>
            <w:r>
              <w:rPr>
                <w:rFonts w:ascii="Courier New" w:hAnsi="Courier New" w:eastAsia="Courier New"/>
                <w:sz w:val="14"/>
              </w:rPr>
              <w:t>- No redefinir enums/interfaces; importar desde @aurelia/contracts.</w:t>
              <w:br/>
            </w:r>
            <w:r>
              <w:rPr>
                <w:rFonts w:ascii="Courier New" w:hAnsi="Courier New" w:eastAsia="Courier New"/>
                <w:sz w:val="14"/>
              </w:rPr>
              <w:t>- No hacer fetch directo desde componentes; crear service + hook TanStack Query.</w:t>
              <w:br/>
            </w:r>
            <w:r>
              <w:rPr>
                <w:rFonts w:ascii="Courier New" w:hAnsi="Courier New" w:eastAsia="Courier New"/>
                <w:sz w:val="14"/>
              </w:rPr>
              <w:t>- Zustand solo para estado UI, no para datos del servidor.</w:t>
              <w:br/>
            </w:r>
            <w:r>
              <w:rPr>
                <w:rFonts w:ascii="Courier New" w:hAnsi="Courier New" w:eastAsia="Courier New"/>
                <w:sz w:val="14"/>
              </w:rPr>
              <w:t>- Implementar loading, empty, error y success.</w:t>
              <w:br/>
            </w:r>
            <w:r>
              <w:rPr>
                <w:rFonts w:ascii="Courier New" w:hAnsi="Courier New" w:eastAsia="Courier New"/>
                <w:sz w:val="14"/>
              </w:rPr>
              <w:t>- Mantener rutas y permisos por Role.</w:t>
              <w:br/>
            </w:r>
            <w:r>
              <w:rPr>
                <w:rFonts w:ascii="Courier New" w:hAnsi="Courier New" w:eastAsia="Courier New"/>
                <w:sz w:val="14"/>
              </w:rPr>
              <w:br/>
            </w:r>
            <w:r>
              <w:rPr>
                <w:rFonts w:ascii="Courier New" w:hAnsi="Courier New" w:eastAsia="Courier New"/>
                <w:sz w:val="14"/>
              </w:rPr>
              <w:t>Entrega esperada:</w:t>
              <w:br/>
            </w:r>
            <w:r>
              <w:rPr>
                <w:rFonts w:ascii="Courier New" w:hAnsi="Courier New" w:eastAsia="Courier New"/>
                <w:sz w:val="14"/>
              </w:rPr>
              <w:t>1. Plan breve de archivos a tocar.</w:t>
              <w:br/>
            </w:r>
            <w:r>
              <w:rPr>
                <w:rFonts w:ascii="Courier New" w:hAnsi="Courier New" w:eastAsia="Courier New"/>
                <w:sz w:val="14"/>
              </w:rPr>
              <w:t>2. Código integrado.</w:t>
              <w:br/>
            </w:r>
            <w:r>
              <w:rPr>
                <w:rFonts w:ascii="Courier New" w:hAnsi="Courier New" w:eastAsia="Courier New"/>
                <w:sz w:val="14"/>
              </w:rPr>
              <w:t>3. Lista de contratos usados o contratos faltantes propuestos.</w:t>
              <w:br/>
            </w:r>
            <w:r>
              <w:rPr>
                <w:rFonts w:ascii="Courier New" w:hAnsi="Courier New" w:eastAsia="Courier New"/>
                <w:sz w:val="14"/>
              </w:rPr>
              <w:t>4. Comandos ejecutados y resultado.</w:t>
              <w:br/>
            </w:r>
            <w:r>
              <w:rPr>
                <w:rFonts w:ascii="Courier New" w:hAnsi="Courier New" w:eastAsia="Courier New"/>
                <w:sz w:val="14"/>
              </w:rPr>
              <w:t>5. Riesgos o pendientes.</w:t>
              <w:br/>
            </w:r>
          </w:p>
        </w:tc>
      </w:tr>
    </w:tbl>
    <w:p/>
    <w:p>
      <w:pPr>
        <w:pStyle w:val="Heading2"/>
      </w:pPr>
      <w:r>
        <w:t>10.2 Prompt base para backend API / TypeORM</w:t>
      </w:r>
    </w:p>
    <w:tbl>
      <w:tblPr>
        <w:tblStyle w:val="TableGrid"/>
        <w:tblW w:type="auto" w:w="0"/>
        <w:tblLook w:firstColumn="1" w:firstRow="1" w:lastColumn="0" w:lastRow="0" w:noHBand="0" w:noVBand="1" w:val="04A0"/>
      </w:tblPr>
      <w:tblGrid>
        <w:gridCol w:w="10656"/>
      </w:tblGrid>
      <w:tr>
        <w:tc>
          <w:tcPr>
            <w:tcW w:type="dxa" w:w="10656"/>
            <w:shd w:fill="F2F2F2"/>
          </w:tcPr>
          <w:p>
            <w:pPr>
              <w:spacing w:after="0"/>
            </w:pPr>
            <w:r/>
            <w:r>
              <w:rPr>
                <w:rFonts w:ascii="Courier New" w:hAnsi="Courier New" w:eastAsia="Courier New"/>
                <w:sz w:val="14"/>
              </w:rPr>
              <w:t>Actúa como backend engineer NestJS + TypeORM en el repo Aurelia.</w:t>
              <w:br/>
            </w:r>
            <w:r>
              <w:rPr>
                <w:rFonts w:ascii="Courier New" w:hAnsi="Courier New" w:eastAsia="Courier New"/>
                <w:sz w:val="14"/>
              </w:rPr>
              <w:t>Lee antes de modificar:</w:t>
              <w:br/>
            </w:r>
            <w:r>
              <w:rPr>
                <w:rFonts w:ascii="Courier New" w:hAnsi="Courier New" w:eastAsia="Courier New"/>
                <w:sz w:val="14"/>
              </w:rPr>
              <w:t>- docs/API_GUIDELINES.md</w:t>
              <w:br/>
            </w:r>
            <w:r>
              <w:rPr>
                <w:rFonts w:ascii="Courier New" w:hAnsi="Courier New" w:eastAsia="Courier New"/>
                <w:sz w:val="14"/>
              </w:rPr>
              <w:t>- docs/CONTRACTS_GUIDELINES.md</w:t>
              <w:br/>
            </w:r>
            <w:r>
              <w:rPr>
                <w:rFonts w:ascii="Courier New" w:hAnsi="Courier New" w:eastAsia="Courier New"/>
                <w:sz w:val="14"/>
              </w:rPr>
              <w:t>- docs/database/04-ddl-postgres-draft.sql</w:t>
              <w:br/>
            </w:r>
            <w:r>
              <w:rPr>
                <w:rFonts w:ascii="Courier New" w:hAnsi="Courier New" w:eastAsia="Courier New"/>
                <w:sz w:val="14"/>
              </w:rPr>
              <w:t>- docs/database/05-typeorm-entities-plan.md</w:t>
              <w:br/>
            </w:r>
            <w:r>
              <w:rPr>
                <w:rFonts w:ascii="Courier New" w:hAnsi="Courier New" w:eastAsia="Courier New"/>
                <w:sz w:val="14"/>
              </w:rPr>
              <w:t>- docs/database/06-implementation-roadmap.md</w:t>
              <w:br/>
            </w:r>
            <w:r>
              <w:rPr>
                <w:rFonts w:ascii="Courier New" w:hAnsi="Courier New" w:eastAsia="Courier New"/>
                <w:sz w:val="14"/>
              </w:rPr>
              <w:br/>
            </w:r>
            <w:r>
              <w:rPr>
                <w:rFonts w:ascii="Courier New" w:hAnsi="Courier New" w:eastAsia="Courier New"/>
                <w:sz w:val="14"/>
              </w:rPr>
              <w:t>Objetivo: implementar &lt;endpoint | entidad | service | migración | seed&gt; para el módulo &lt;módulo&gt;.</w:t>
              <w:br/>
            </w:r>
            <w:r>
              <w:rPr>
                <w:rFonts w:ascii="Courier New" w:hAnsi="Courier New" w:eastAsia="Courier New"/>
                <w:sz w:val="14"/>
              </w:rPr>
              <w:t>Alcance permitido: &lt;listar carpetas y archivos permitidos&gt;.</w:t>
              <w:br/>
            </w:r>
            <w:r>
              <w:rPr>
                <w:rFonts w:ascii="Courier New" w:hAnsi="Courier New" w:eastAsia="Courier New"/>
                <w:sz w:val="14"/>
              </w:rPr>
              <w:br/>
            </w:r>
            <w:r>
              <w:rPr>
                <w:rFonts w:ascii="Courier New" w:hAnsi="Courier New" w:eastAsia="Courier New"/>
                <w:sz w:val="14"/>
              </w:rPr>
              <w:t>Reglas:</w:t>
              <w:br/>
            </w:r>
            <w:r>
              <w:rPr>
                <w:rFonts w:ascii="Courier New" w:hAnsi="Courier New" w:eastAsia="Courier New"/>
                <w:sz w:val="14"/>
              </w:rPr>
              <w:t>- No compartir entidades TypeORM con frontend/mobile.</w:t>
              <w:br/>
            </w:r>
            <w:r>
              <w:rPr>
                <w:rFonts w:ascii="Courier New" w:hAnsi="Courier New" w:eastAsia="Courier New"/>
                <w:sz w:val="14"/>
              </w:rPr>
              <w:t>- DTOs NestJS deben implementar request interfaces desde @aurelia/contracts.</w:t>
              <w:br/>
            </w:r>
            <w:r>
              <w:rPr>
                <w:rFonts w:ascii="Courier New" w:hAnsi="Courier New" w:eastAsia="Courier New"/>
                <w:sz w:val="14"/>
              </w:rPr>
              <w:t>- Los controllers devuelven response types/mappers, no entidades.</w:t>
              <w:br/>
            </w:r>
            <w:r>
              <w:rPr>
                <w:rFonts w:ascii="Courier New" w:hAnsi="Courier New" w:eastAsia="Courier New"/>
                <w:sz w:val="14"/>
              </w:rPr>
              <w:t>- Si falta contrato, proponer cambio en packages/contracts antes de inventar tipos locales.</w:t>
              <w:br/>
            </w:r>
            <w:r>
              <w:rPr>
                <w:rFonts w:ascii="Courier New" w:hAnsi="Courier New" w:eastAsia="Courier New"/>
                <w:sz w:val="14"/>
              </w:rPr>
              <w:t>- No usar synchronize como mecanismo de diseño.</w:t>
              <w:br/>
            </w:r>
            <w:r>
              <w:rPr>
                <w:rFonts w:ascii="Courier New" w:hAnsi="Courier New" w:eastAsia="Courier New"/>
                <w:sz w:val="14"/>
              </w:rPr>
              <w:t>- Si hay migración, crearla revisable y explicar impacto.</w:t>
              <w:br/>
            </w:r>
            <w:r>
              <w:rPr>
                <w:rFonts w:ascii="Courier New" w:hAnsi="Courier New" w:eastAsia="Courier New"/>
                <w:sz w:val="14"/>
              </w:rPr>
              <w:t>- No implementar lógica de otros módulos no solicitados.</w:t>
              <w:br/>
            </w:r>
            <w:r>
              <w:rPr>
                <w:rFonts w:ascii="Courier New" w:hAnsi="Courier New" w:eastAsia="Courier New"/>
                <w:sz w:val="14"/>
              </w:rPr>
              <w:br/>
            </w:r>
            <w:r>
              <w:rPr>
                <w:rFonts w:ascii="Courier New" w:hAnsi="Courier New" w:eastAsia="Courier New"/>
                <w:sz w:val="14"/>
              </w:rPr>
              <w:t>Entrega:</w:t>
              <w:br/>
            </w:r>
            <w:r>
              <w:rPr>
                <w:rFonts w:ascii="Courier New" w:hAnsi="Courier New" w:eastAsia="Courier New"/>
                <w:sz w:val="14"/>
              </w:rPr>
              <w:t>1. Plan y archivos a tocar.</w:t>
              <w:br/>
            </w:r>
            <w:r>
              <w:rPr>
                <w:rFonts w:ascii="Courier New" w:hAnsi="Courier New" w:eastAsia="Courier New"/>
                <w:sz w:val="14"/>
              </w:rPr>
              <w:t>2. Cambios realizados.</w:t>
              <w:br/>
            </w:r>
            <w:r>
              <w:rPr>
                <w:rFonts w:ascii="Courier New" w:hAnsi="Courier New" w:eastAsia="Courier New"/>
                <w:sz w:val="14"/>
              </w:rPr>
              <w:t>3. Migración/seed si aplica.</w:t>
              <w:br/>
            </w:r>
            <w:r>
              <w:rPr>
                <w:rFonts w:ascii="Courier New" w:hAnsi="Courier New" w:eastAsia="Courier New"/>
                <w:sz w:val="14"/>
              </w:rPr>
              <w:t>4. Comandos ejecutados: build, lint, test, migration:run si aplica.</w:t>
              <w:br/>
            </w:r>
            <w:r>
              <w:rPr>
                <w:rFonts w:ascii="Courier New" w:hAnsi="Courier New" w:eastAsia="Courier New"/>
                <w:sz w:val="14"/>
              </w:rPr>
              <w:t>5. Pendientes y riesgos.</w:t>
              <w:br/>
            </w:r>
          </w:p>
        </w:tc>
      </w:tr>
    </w:tbl>
    <w:p/>
    <w:p>
      <w:pPr>
        <w:pStyle w:val="Heading2"/>
      </w:pPr>
      <w:r>
        <w:t>10.3 Prompt base para cambios en @aurelia/contracts</w:t>
      </w:r>
    </w:p>
    <w:tbl>
      <w:tblPr>
        <w:tblStyle w:val="TableGrid"/>
        <w:tblW w:type="auto" w:w="0"/>
        <w:tblLook w:firstColumn="1" w:firstRow="1" w:lastColumn="0" w:lastRow="0" w:noHBand="0" w:noVBand="1" w:val="04A0"/>
      </w:tblPr>
      <w:tblGrid>
        <w:gridCol w:w="10656"/>
      </w:tblGrid>
      <w:tr>
        <w:tc>
          <w:tcPr>
            <w:tcW w:type="dxa" w:w="10656"/>
            <w:shd w:fill="F2F2F2"/>
          </w:tcPr>
          <w:p>
            <w:pPr>
              <w:spacing w:after="0"/>
            </w:pPr>
            <w:r/>
            <w:r>
              <w:rPr>
                <w:rFonts w:ascii="Courier New" w:hAnsi="Courier New" w:eastAsia="Courier New"/>
                <w:sz w:val="14"/>
              </w:rPr>
              <w:t>Actúa como arquitecto de contratos TypeScript para @aurelia/contracts.</w:t>
              <w:br/>
            </w:r>
            <w:r>
              <w:rPr>
                <w:rFonts w:ascii="Courier New" w:hAnsi="Courier New" w:eastAsia="Courier New"/>
                <w:sz w:val="14"/>
              </w:rPr>
              <w:t>Lee:</w:t>
              <w:br/>
            </w:r>
            <w:r>
              <w:rPr>
                <w:rFonts w:ascii="Courier New" w:hAnsi="Courier New" w:eastAsia="Courier New"/>
                <w:sz w:val="14"/>
              </w:rPr>
              <w:t>- docs/CONTRACTS_GUIDELINES.md</w:t>
              <w:br/>
            </w:r>
            <w:r>
              <w:rPr>
                <w:rFonts w:ascii="Courier New" w:hAnsi="Courier New" w:eastAsia="Courier New"/>
                <w:sz w:val="14"/>
              </w:rPr>
              <w:t>- docs/ARCHITECTURE.md</w:t>
              <w:br/>
            </w:r>
            <w:r>
              <w:rPr>
                <w:rFonts w:ascii="Courier New" w:hAnsi="Courier New" w:eastAsia="Courier New"/>
                <w:sz w:val="14"/>
              </w:rPr>
              <w:t>- docs/API_GUIDELINES.md</w:t>
              <w:br/>
            </w:r>
            <w:r>
              <w:rPr>
                <w:rFonts w:ascii="Courier New" w:hAnsi="Courier New" w:eastAsia="Courier New"/>
                <w:sz w:val="14"/>
              </w:rPr>
              <w:br/>
            </w:r>
            <w:r>
              <w:rPr>
                <w:rFonts w:ascii="Courier New" w:hAnsi="Courier New" w:eastAsia="Courier New"/>
                <w:sz w:val="14"/>
              </w:rPr>
              <w:t>Objetivo: agregar/ajustar contrato para &lt;módulo&gt;.</w:t>
              <w:br/>
            </w:r>
            <w:r>
              <w:rPr>
                <w:rFonts w:ascii="Courier New" w:hAnsi="Courier New" w:eastAsia="Courier New"/>
                <w:sz w:val="14"/>
              </w:rPr>
              <w:t>Necesidad funcional: &lt;describir pantalla, endpoint o flujo que requiere el contrato&gt;.</w:t>
              <w:br/>
            </w:r>
            <w:r>
              <w:rPr>
                <w:rFonts w:ascii="Courier New" w:hAnsi="Courier New" w:eastAsia="Courier New"/>
                <w:sz w:val="14"/>
              </w:rPr>
              <w:br/>
            </w:r>
            <w:r>
              <w:rPr>
                <w:rFonts w:ascii="Courier New" w:hAnsi="Courier New" w:eastAsia="Courier New"/>
                <w:sz w:val="14"/>
              </w:rPr>
              <w:t>Reglas:</w:t>
              <w:br/>
            </w:r>
            <w:r>
              <w:rPr>
                <w:rFonts w:ascii="Courier New" w:hAnsi="Courier New" w:eastAsia="Courier New"/>
                <w:sz w:val="14"/>
              </w:rPr>
              <w:t>- Contracts debe seguir siendo agnóstico: sin NestJS, TypeORM, React, Expo, class-validator ni class-transformer.</w:t>
              <w:br/>
            </w:r>
            <w:r>
              <w:rPr>
                <w:rFonts w:ascii="Courier New" w:hAnsi="Courier New" w:eastAsia="Courier New"/>
                <w:sz w:val="14"/>
              </w:rPr>
              <w:t>- Enums en enums/*.enum.ts con valores UPPER_SNAKE.</w:t>
              <w:br/>
            </w:r>
            <w:r>
              <w:rPr>
                <w:rFonts w:ascii="Courier New" w:hAnsi="Courier New" w:eastAsia="Courier New"/>
                <w:sz w:val="14"/>
              </w:rPr>
              <w:t>- Requests en dtos/&lt;dominio&gt;/create-x.request.ts o update-x.request.ts.</w:t>
              <w:br/>
            </w:r>
            <w:r>
              <w:rPr>
                <w:rFonts w:ascii="Courier New" w:hAnsi="Courier New" w:eastAsia="Courier New"/>
                <w:sz w:val="14"/>
              </w:rPr>
              <w:t>- Responses deben representar frontera HTTP, no entidad de persistencia.</w:t>
              <w:br/>
            </w:r>
            <w:r>
              <w:rPr>
                <w:rFonts w:ascii="Courier New" w:hAnsi="Courier New" w:eastAsia="Courier New"/>
                <w:sz w:val="14"/>
              </w:rPr>
              <w:t>- Exportar desde barrels correspondientes e index raíz.</w:t>
              <w:br/>
            </w:r>
            <w:r>
              <w:rPr>
                <w:rFonts w:ascii="Courier New" w:hAnsi="Courier New" w:eastAsia="Courier New"/>
                <w:sz w:val="14"/>
              </w:rPr>
              <w:t>- Indicar consumidores que deben ajustarse: API DTOs, services web/mobile, hooks, tests.</w:t>
              <w:br/>
            </w:r>
            <w:r>
              <w:rPr>
                <w:rFonts w:ascii="Courier New" w:hAnsi="Courier New" w:eastAsia="Courier New"/>
                <w:sz w:val="14"/>
              </w:rPr>
              <w:br/>
            </w:r>
            <w:r>
              <w:rPr>
                <w:rFonts w:ascii="Courier New" w:hAnsi="Courier New" w:eastAsia="Courier New"/>
                <w:sz w:val="14"/>
              </w:rPr>
              <w:t>Entrega:</w:t>
              <w:br/>
            </w:r>
            <w:r>
              <w:rPr>
                <w:rFonts w:ascii="Courier New" w:hAnsi="Courier New" w:eastAsia="Courier New"/>
                <w:sz w:val="14"/>
              </w:rPr>
              <w:t>1. Contratos propuestos.</w:t>
              <w:br/>
            </w:r>
            <w:r>
              <w:rPr>
                <w:rFonts w:ascii="Courier New" w:hAnsi="Courier New" w:eastAsia="Courier New"/>
                <w:sz w:val="14"/>
              </w:rPr>
              <w:t>2. Archivos a modificar.</w:t>
              <w:br/>
            </w:r>
            <w:r>
              <w:rPr>
                <w:rFonts w:ascii="Courier New" w:hAnsi="Courier New" w:eastAsia="Courier New"/>
                <w:sz w:val="14"/>
              </w:rPr>
              <w:t>3. Impacto en consumidores.</w:t>
              <w:br/>
            </w:r>
            <w:r>
              <w:rPr>
                <w:rFonts w:ascii="Courier New" w:hAnsi="Courier New" w:eastAsia="Courier New"/>
                <w:sz w:val="14"/>
              </w:rPr>
              <w:t>4. Comandos: pnpm build:contracts, pnpm build, pnpm lint.</w:t>
              <w:br/>
            </w:r>
          </w:p>
        </w:tc>
      </w:tr>
    </w:tbl>
    <w:p/>
    <w:p>
      <w:pPr>
        <w:pStyle w:val="Heading2"/>
      </w:pPr>
      <w:r>
        <w:t>10.4 Prompt base para QA / revisión de PR</w:t>
      </w:r>
    </w:p>
    <w:tbl>
      <w:tblPr>
        <w:tblStyle w:val="TableGrid"/>
        <w:tblW w:type="auto" w:w="0"/>
        <w:tblLook w:firstColumn="1" w:firstRow="1" w:lastColumn="0" w:lastRow="0" w:noHBand="0" w:noVBand="1" w:val="04A0"/>
      </w:tblPr>
      <w:tblGrid>
        <w:gridCol w:w="10656"/>
      </w:tblGrid>
      <w:tr>
        <w:tc>
          <w:tcPr>
            <w:tcW w:type="dxa" w:w="10656"/>
            <w:shd w:fill="F2F2F2"/>
          </w:tcPr>
          <w:p>
            <w:pPr>
              <w:spacing w:after="0"/>
            </w:pPr>
            <w:r/>
            <w:r>
              <w:rPr>
                <w:rFonts w:ascii="Courier New" w:hAnsi="Courier New" w:eastAsia="Courier New"/>
                <w:sz w:val="14"/>
              </w:rPr>
              <w:t>Actúa como revisor técnico del PR en Aurelia.</w:t>
              <w:br/>
            </w:r>
            <w:r>
              <w:rPr>
                <w:rFonts w:ascii="Courier New" w:hAnsi="Courier New" w:eastAsia="Courier New"/>
                <w:sz w:val="14"/>
              </w:rPr>
              <w:t>Lee los documentos que apliquen según el cambio:</w:t>
              <w:br/>
            </w:r>
            <w:r>
              <w:rPr>
                <w:rFonts w:ascii="Courier New" w:hAnsi="Courier New" w:eastAsia="Courier New"/>
                <w:sz w:val="14"/>
              </w:rPr>
              <w:t>- docs/ARCHITECTURE.md</w:t>
              <w:br/>
            </w:r>
            <w:r>
              <w:rPr>
                <w:rFonts w:ascii="Courier New" w:hAnsi="Courier New" w:eastAsia="Courier New"/>
                <w:sz w:val="14"/>
              </w:rPr>
              <w:t>- docs/CONTRACTS_GUIDELINES.md</w:t>
              <w:br/>
            </w:r>
            <w:r>
              <w:rPr>
                <w:rFonts w:ascii="Courier New" w:hAnsi="Courier New" w:eastAsia="Courier New"/>
                <w:sz w:val="14"/>
              </w:rPr>
              <w:t>- docs/DEVELOPMENT_WORKFLOW.md</w:t>
              <w:br/>
            </w:r>
            <w:r>
              <w:rPr>
                <w:rFonts w:ascii="Courier New" w:hAnsi="Courier New" w:eastAsia="Courier New"/>
                <w:sz w:val="14"/>
              </w:rPr>
              <w:t>- docs/API_GUIDELINES.md o docs/FRONTEND_GUIDELINES.md</w:t>
              <w:br/>
            </w:r>
            <w:r>
              <w:rPr>
                <w:rFonts w:ascii="Courier New" w:hAnsi="Courier New" w:eastAsia="Courier New"/>
                <w:sz w:val="14"/>
              </w:rPr>
              <w:br/>
            </w:r>
            <w:r>
              <w:rPr>
                <w:rFonts w:ascii="Courier New" w:hAnsi="Courier New" w:eastAsia="Courier New"/>
                <w:sz w:val="14"/>
              </w:rPr>
              <w:t>Objetivo: revisar el cambio &lt;describir PR o branch&gt;.</w:t>
              <w:br/>
            </w:r>
            <w:r>
              <w:rPr>
                <w:rFonts w:ascii="Courier New" w:hAnsi="Courier New" w:eastAsia="Courier New"/>
                <w:sz w:val="14"/>
              </w:rPr>
              <w:br/>
            </w:r>
            <w:r>
              <w:rPr>
                <w:rFonts w:ascii="Courier New" w:hAnsi="Courier New" w:eastAsia="Courier New"/>
                <w:sz w:val="14"/>
              </w:rPr>
              <w:t>Revisa:</w:t>
              <w:br/>
            </w:r>
            <w:r>
              <w:rPr>
                <w:rFonts w:ascii="Courier New" w:hAnsi="Courier New" w:eastAsia="Courier New"/>
                <w:sz w:val="14"/>
              </w:rPr>
              <w:t>- No hay imports cruzados indebidos entre apps.</w:t>
              <w:br/>
            </w:r>
            <w:r>
              <w:rPr>
                <w:rFonts w:ascii="Courier New" w:hAnsi="Courier New" w:eastAsia="Courier New"/>
                <w:sz w:val="14"/>
              </w:rPr>
              <w:t>- Web/mobile no importan TypeORM/NestJS/class-validator.</w:t>
              <w:br/>
            </w:r>
            <w:r>
              <w:rPr>
                <w:rFonts w:ascii="Courier New" w:hAnsi="Courier New" w:eastAsia="Courier New"/>
                <w:sz w:val="14"/>
              </w:rPr>
              <w:t>- No se redefinen tipos que pertenecen a @aurelia/contracts.</w:t>
              <w:br/>
            </w:r>
            <w:r>
              <w:rPr>
                <w:rFonts w:ascii="Courier New" w:hAnsi="Courier New" w:eastAsia="Courier New"/>
                <w:sz w:val="14"/>
              </w:rPr>
              <w:t>- DTOs implementan contratos si son request de API.</w:t>
              <w:br/>
            </w:r>
            <w:r>
              <w:rPr>
                <w:rFonts w:ascii="Courier New" w:hAnsi="Courier New" w:eastAsia="Courier New"/>
                <w:sz w:val="14"/>
              </w:rPr>
              <w:t>- No se devuelven entidades TypeORM directamente.</w:t>
              <w:br/>
            </w:r>
            <w:r>
              <w:rPr>
                <w:rFonts w:ascii="Courier New" w:hAnsi="Courier New" w:eastAsia="Courier New"/>
                <w:sz w:val="14"/>
              </w:rPr>
              <w:t>- Layout web usa grid/flex y UI kit existente.</w:t>
              <w:br/>
            </w:r>
            <w:r>
              <w:rPr>
                <w:rFonts w:ascii="Courier New" w:hAnsi="Courier New" w:eastAsia="Courier New"/>
                <w:sz w:val="14"/>
              </w:rPr>
              <w:t>- Server state usa TanStack Query; UI state usa Zustand.</w:t>
              <w:br/>
            </w:r>
            <w:r>
              <w:rPr>
                <w:rFonts w:ascii="Courier New" w:hAnsi="Courier New" w:eastAsia="Courier New"/>
                <w:sz w:val="14"/>
              </w:rPr>
              <w:t>- Migraciones/seeds son idempotentes donde corresponda.</w:t>
              <w:br/>
            </w:r>
            <w:r>
              <w:rPr>
                <w:rFonts w:ascii="Courier New" w:hAnsi="Courier New" w:eastAsia="Courier New"/>
                <w:sz w:val="14"/>
              </w:rPr>
              <w:t>- Comandos de validación corren sin errores.</w:t>
              <w:br/>
            </w:r>
            <w:r>
              <w:rPr>
                <w:rFonts w:ascii="Courier New" w:hAnsi="Courier New" w:eastAsia="Courier New"/>
                <w:sz w:val="14"/>
              </w:rPr>
              <w:br/>
            </w:r>
            <w:r>
              <w:rPr>
                <w:rFonts w:ascii="Courier New" w:hAnsi="Courier New" w:eastAsia="Courier New"/>
                <w:sz w:val="14"/>
              </w:rPr>
              <w:t>Entrega:</w:t>
              <w:br/>
            </w:r>
            <w:r>
              <w:rPr>
                <w:rFonts w:ascii="Courier New" w:hAnsi="Courier New" w:eastAsia="Courier New"/>
                <w:sz w:val="14"/>
              </w:rPr>
              <w:t>1. Veredicto: aprobar / aprobar con observaciones / solicitar cambios.</w:t>
              <w:br/>
            </w:r>
            <w:r>
              <w:rPr>
                <w:rFonts w:ascii="Courier New" w:hAnsi="Courier New" w:eastAsia="Courier New"/>
                <w:sz w:val="14"/>
              </w:rPr>
              <w:t>2. Hallazgos por severidad.</w:t>
              <w:br/>
            </w:r>
            <w:r>
              <w:rPr>
                <w:rFonts w:ascii="Courier New" w:hAnsi="Courier New" w:eastAsia="Courier New"/>
                <w:sz w:val="14"/>
              </w:rPr>
              <w:t>3. Archivos involucrados.</w:t>
              <w:br/>
            </w:r>
            <w:r>
              <w:rPr>
                <w:rFonts w:ascii="Courier New" w:hAnsi="Courier New" w:eastAsia="Courier New"/>
                <w:sz w:val="14"/>
              </w:rPr>
              <w:t>4. Comandos verificados.</w:t>
              <w:br/>
            </w:r>
            <w:r>
              <w:rPr>
                <w:rFonts w:ascii="Courier New" w:hAnsi="Courier New" w:eastAsia="Courier New"/>
                <w:sz w:val="14"/>
              </w:rPr>
              <w:t>5. Recomendaciones concretas.</w:t>
              <w:br/>
            </w:r>
          </w:p>
        </w:tc>
      </w:tr>
    </w:tbl>
    <w:p/>
    <w:p>
      <w:pPr>
        <w:pStyle w:val="Heading1"/>
      </w:pPr>
      <w:r>
        <w:t>11. Secuencias de validación y comandos</w:t>
      </w:r>
    </w:p>
    <w:p>
      <w:r>
        <w:t>Las secuencias exactas pueden variar según scripts disponibles, pero el ERS debe exigir que todo cambio técnico declare qué validaciones ejecutó. El segundo seed solo debe ejecutarse si el seed es idempotente o se quiere comprobar idempotencia explícitamente.</w:t>
      </w:r>
    </w:p>
    <w:tbl>
      <w:tblPr>
        <w:tblStyle w:val="TableGrid"/>
        <w:tblW w:type="auto" w:w="0"/>
        <w:tblLook w:firstColumn="1" w:firstRow="1" w:lastColumn="0" w:lastRow="0" w:noHBand="0" w:noVBand="1" w:val="04A0"/>
      </w:tblPr>
      <w:tblGrid>
        <w:gridCol w:w="10656"/>
      </w:tblGrid>
      <w:tr>
        <w:tc>
          <w:tcPr>
            <w:tcW w:type="dxa" w:w="10656"/>
            <w:shd w:fill="F2F2F2"/>
          </w:tcPr>
          <w:p>
            <w:pPr>
              <w:spacing w:after="0"/>
            </w:pPr>
            <w:r/>
            <w:r>
              <w:rPr>
                <w:rFonts w:ascii="Courier New" w:hAnsi="Courier New" w:eastAsia="Courier New"/>
                <w:sz w:val="16"/>
              </w:rPr>
              <w:t># Secuencia general antes de comenzar una tarea</w:t>
              <w:br/>
            </w:r>
            <w:r>
              <w:rPr>
                <w:rFonts w:ascii="Courier New" w:hAnsi="Courier New" w:eastAsia="Courier New"/>
                <w:sz w:val="16"/>
              </w:rPr>
              <w:br/>
            </w:r>
            <w:r>
              <w:rPr>
                <w:rFonts w:ascii="Courier New" w:hAnsi="Courier New" w:eastAsia="Courier New"/>
                <w:sz w:val="16"/>
              </w:rPr>
              <w:t>git pull origin main</w:t>
              <w:br/>
            </w:r>
            <w:r>
              <w:rPr>
                <w:rFonts w:ascii="Courier New" w:hAnsi="Courier New" w:eastAsia="Courier New"/>
                <w:sz w:val="16"/>
              </w:rPr>
              <w:t>pnpm install</w:t>
              <w:br/>
            </w:r>
            <w:r>
              <w:rPr>
                <w:rFonts w:ascii="Courier New" w:hAnsi="Courier New" w:eastAsia="Courier New"/>
                <w:sz w:val="16"/>
              </w:rPr>
              <w:t>pnpm build:contracts</w:t>
              <w:br/>
            </w:r>
            <w:r>
              <w:rPr>
                <w:rFonts w:ascii="Courier New" w:hAnsi="Courier New" w:eastAsia="Courier New"/>
                <w:sz w:val="16"/>
              </w:rPr>
              <w:br/>
            </w:r>
            <w:r>
              <w:rPr>
                <w:rFonts w:ascii="Courier New" w:hAnsi="Courier New" w:eastAsia="Courier New"/>
                <w:sz w:val="16"/>
              </w:rPr>
              <w:t># Validación global al finalizar cambios transversales</w:t>
              <w:br/>
            </w:r>
            <w:r>
              <w:rPr>
                <w:rFonts w:ascii="Courier New" w:hAnsi="Courier New" w:eastAsia="Courier New"/>
                <w:sz w:val="16"/>
              </w:rPr>
              <w:br/>
            </w:r>
            <w:r>
              <w:rPr>
                <w:rFonts w:ascii="Courier New" w:hAnsi="Courier New" w:eastAsia="Courier New"/>
                <w:sz w:val="16"/>
              </w:rPr>
              <w:t>pnpm build --force</w:t>
              <w:br/>
            </w:r>
            <w:r>
              <w:rPr>
                <w:rFonts w:ascii="Courier New" w:hAnsi="Courier New" w:eastAsia="Courier New"/>
                <w:sz w:val="16"/>
              </w:rPr>
              <w:t>pnpm lint --force</w:t>
              <w:br/>
            </w:r>
            <w:r>
              <w:rPr>
                <w:rFonts w:ascii="Courier New" w:hAnsi="Courier New" w:eastAsia="Courier New"/>
                <w:sz w:val="16"/>
              </w:rPr>
              <w:t>pnpm test</w:t>
              <w:br/>
            </w:r>
          </w:p>
        </w:tc>
      </w:tr>
    </w:tbl>
    <w:p/>
    <w:tbl>
      <w:tblPr>
        <w:tblStyle w:val="TableGrid"/>
        <w:tblW w:type="auto" w:w="0"/>
        <w:tblLook w:firstColumn="1" w:firstRow="1" w:lastColumn="0" w:lastRow="0" w:noHBand="0" w:noVBand="1" w:val="04A0"/>
      </w:tblPr>
      <w:tblGrid>
        <w:gridCol w:w="10656"/>
      </w:tblGrid>
      <w:tr>
        <w:tc>
          <w:tcPr>
            <w:tcW w:type="dxa" w:w="10656"/>
            <w:shd w:fill="F2F2F2"/>
          </w:tcPr>
          <w:p>
            <w:pPr>
              <w:spacing w:after="0"/>
            </w:pPr>
            <w:r/>
            <w:r>
              <w:rPr>
                <w:rFonts w:ascii="Courier New" w:hAnsi="Courier New" w:eastAsia="Courier New"/>
                <w:sz w:val="16"/>
              </w:rPr>
              <w:t># Secuencia backend con migraciones/seeds</w:t>
              <w:br/>
            </w:r>
            <w:r>
              <w:rPr>
                <w:rFonts w:ascii="Courier New" w:hAnsi="Courier New" w:eastAsia="Courier New"/>
                <w:sz w:val="16"/>
              </w:rPr>
              <w:br/>
            </w:r>
            <w:r>
              <w:rPr>
                <w:rFonts w:ascii="Courier New" w:hAnsi="Courier New" w:eastAsia="Courier New"/>
                <w:sz w:val="16"/>
              </w:rPr>
              <w:t>git pull origin main</w:t>
              <w:br/>
            </w:r>
            <w:r>
              <w:rPr>
                <w:rFonts w:ascii="Courier New" w:hAnsi="Courier New" w:eastAsia="Courier New"/>
                <w:sz w:val="16"/>
              </w:rPr>
              <w:t>pnpm build:contracts</w:t>
              <w:br/>
            </w:r>
            <w:r>
              <w:rPr>
                <w:rFonts w:ascii="Courier New" w:hAnsi="Courier New" w:eastAsia="Courier New"/>
                <w:sz w:val="16"/>
              </w:rPr>
              <w:t>pnpm --filter api build</w:t>
              <w:br/>
            </w:r>
            <w:r>
              <w:rPr>
                <w:rFonts w:ascii="Courier New" w:hAnsi="Courier New" w:eastAsia="Courier New"/>
                <w:sz w:val="16"/>
              </w:rPr>
              <w:t>pnpm --filter api lint</w:t>
              <w:br/>
            </w:r>
            <w:r>
              <w:rPr>
                <w:rFonts w:ascii="Courier New" w:hAnsi="Courier New" w:eastAsia="Courier New"/>
                <w:sz w:val="16"/>
              </w:rPr>
              <w:br/>
            </w:r>
            <w:r>
              <w:rPr>
                <w:rFonts w:ascii="Courier New" w:hAnsi="Courier New" w:eastAsia="Courier New"/>
                <w:sz w:val="16"/>
              </w:rPr>
              <w:t>cd apps/api</w:t>
              <w:br/>
            </w:r>
            <w:r>
              <w:rPr>
                <w:rFonts w:ascii="Courier New" w:hAnsi="Courier New" w:eastAsia="Courier New"/>
                <w:sz w:val="16"/>
              </w:rPr>
              <w:t>pnpm migration:run</w:t>
              <w:br/>
            </w:r>
            <w:r>
              <w:rPr>
                <w:rFonts w:ascii="Courier New" w:hAnsi="Courier New" w:eastAsia="Courier New"/>
                <w:sz w:val="16"/>
              </w:rPr>
              <w:t>pnpm seed</w:t>
              <w:br/>
            </w:r>
            <w:r>
              <w:rPr>
                <w:rFonts w:ascii="Courier New" w:hAnsi="Courier New" w:eastAsia="Courier New"/>
                <w:sz w:val="16"/>
              </w:rPr>
              <w:t>pnpm test</w:t>
              <w:br/>
            </w:r>
            <w:r>
              <w:rPr>
                <w:rFonts w:ascii="Courier New" w:hAnsi="Courier New" w:eastAsia="Courier New"/>
                <w:sz w:val="16"/>
              </w:rPr>
              <w:br/>
            </w:r>
            <w:r>
              <w:rPr>
                <w:rFonts w:ascii="Courier New" w:hAnsi="Courier New" w:eastAsia="Courier New"/>
                <w:sz w:val="16"/>
              </w:rPr>
              <w:t># Opcional para validar idempotencia del seed, si el script fue diseñado para ello:</w:t>
              <w:br/>
            </w:r>
            <w:r>
              <w:rPr>
                <w:rFonts w:ascii="Courier New" w:hAnsi="Courier New" w:eastAsia="Courier New"/>
                <w:sz w:val="16"/>
              </w:rPr>
              <w:t>pnpm seed</w:t>
              <w:br/>
            </w:r>
          </w:p>
        </w:tc>
      </w:tr>
    </w:tbl>
    <w:p/>
    <w:tbl>
      <w:tblPr>
        <w:tblStyle w:val="TableGrid"/>
        <w:tblW w:type="auto" w:w="0"/>
        <w:tblLook w:firstColumn="1" w:firstRow="1" w:lastColumn="0" w:lastRow="0" w:noHBand="0" w:noVBand="1" w:val="04A0"/>
      </w:tblPr>
      <w:tblGrid>
        <w:gridCol w:w="10656"/>
      </w:tblGrid>
      <w:tr>
        <w:tc>
          <w:tcPr>
            <w:tcW w:type="dxa" w:w="10656"/>
            <w:shd w:fill="F2F2F2"/>
          </w:tcPr>
          <w:p>
            <w:pPr>
              <w:spacing w:after="0"/>
            </w:pPr>
            <w:r/>
            <w:r>
              <w:rPr>
                <w:rFonts w:ascii="Courier New" w:hAnsi="Courier New" w:eastAsia="Courier New"/>
                <w:sz w:val="16"/>
              </w:rPr>
              <w:t># Secuencia web / Figma Make</w:t>
              <w:br/>
            </w:r>
            <w:r>
              <w:rPr>
                <w:rFonts w:ascii="Courier New" w:hAnsi="Courier New" w:eastAsia="Courier New"/>
                <w:sz w:val="16"/>
              </w:rPr>
              <w:br/>
            </w:r>
            <w:r>
              <w:rPr>
                <w:rFonts w:ascii="Courier New" w:hAnsi="Courier New" w:eastAsia="Courier New"/>
                <w:sz w:val="16"/>
              </w:rPr>
              <w:t>git pull origin main</w:t>
              <w:br/>
            </w:r>
            <w:r>
              <w:rPr>
                <w:rFonts w:ascii="Courier New" w:hAnsi="Courier New" w:eastAsia="Courier New"/>
                <w:sz w:val="16"/>
              </w:rPr>
              <w:t>pnpm build:contracts</w:t>
              <w:br/>
            </w:r>
            <w:r>
              <w:rPr>
                <w:rFonts w:ascii="Courier New" w:hAnsi="Courier New" w:eastAsia="Courier New"/>
                <w:sz w:val="16"/>
              </w:rPr>
              <w:t>pnpm --filter web lint</w:t>
              <w:br/>
            </w:r>
            <w:r>
              <w:rPr>
                <w:rFonts w:ascii="Courier New" w:hAnsi="Courier New" w:eastAsia="Courier New"/>
                <w:sz w:val="16"/>
              </w:rPr>
              <w:t>pnpm --filter web build</w:t>
              <w:br/>
            </w:r>
            <w:r>
              <w:rPr>
                <w:rFonts w:ascii="Courier New" w:hAnsi="Courier New" w:eastAsia="Courier New"/>
                <w:sz w:val="16"/>
              </w:rPr>
              <w:t>pnpm --filter web test</w:t>
              <w:br/>
            </w:r>
            <w:r>
              <w:rPr>
                <w:rFonts w:ascii="Courier New" w:hAnsi="Courier New" w:eastAsia="Courier New"/>
                <w:sz w:val="16"/>
              </w:rPr>
              <w:br/>
            </w:r>
            <w:r>
              <w:rPr>
                <w:rFonts w:ascii="Courier New" w:hAnsi="Courier New" w:eastAsia="Courier New"/>
                <w:sz w:val="16"/>
              </w:rPr>
              <w:t># Validación manual adicional:</w:t>
              <w:br/>
            </w:r>
            <w:r>
              <w:rPr>
                <w:rFonts w:ascii="Courier New" w:hAnsi="Courier New" w:eastAsia="Courier New"/>
                <w:sz w:val="16"/>
              </w:rPr>
              <w:t># - revisar responsive en breakpoints clave</w:t>
              <w:br/>
            </w:r>
            <w:r>
              <w:rPr>
                <w:rFonts w:ascii="Courier New" w:hAnsi="Courier New" w:eastAsia="Courier New"/>
                <w:sz w:val="16"/>
              </w:rPr>
              <w:t># - revisar estados loading/empty/error/success</w:t>
              <w:br/>
            </w:r>
            <w:r>
              <w:rPr>
                <w:rFonts w:ascii="Courier New" w:hAnsi="Courier New" w:eastAsia="Courier New"/>
                <w:sz w:val="16"/>
              </w:rPr>
              <w:t># - revisar permisos por Role</w:t>
              <w:br/>
            </w:r>
          </w:p>
        </w:tc>
      </w:tr>
    </w:tbl>
    <w:p/>
    <w:tbl>
      <w:tblPr>
        <w:tblStyle w:val="TableGrid"/>
        <w:tblW w:type="auto" w:w="0"/>
        <w:tblLook w:firstColumn="1" w:firstRow="1" w:lastColumn="0" w:lastRow="0" w:noHBand="0" w:noVBand="1" w:val="04A0"/>
      </w:tblPr>
      <w:tblGrid>
        <w:gridCol w:w="10656"/>
      </w:tblGrid>
      <w:tr>
        <w:tc>
          <w:tcPr>
            <w:tcW w:type="dxa" w:w="10656"/>
            <w:shd w:fill="F2F2F2"/>
          </w:tcPr>
          <w:p>
            <w:pPr>
              <w:spacing w:after="0"/>
            </w:pPr>
            <w:r/>
            <w:r>
              <w:rPr>
                <w:rFonts w:ascii="Courier New" w:hAnsi="Courier New" w:eastAsia="Courier New"/>
                <w:sz w:val="16"/>
              </w:rPr>
              <w:t># Secuencia mobile</w:t>
              <w:br/>
            </w:r>
            <w:r>
              <w:rPr>
                <w:rFonts w:ascii="Courier New" w:hAnsi="Courier New" w:eastAsia="Courier New"/>
                <w:sz w:val="16"/>
              </w:rPr>
              <w:br/>
            </w:r>
            <w:r>
              <w:rPr>
                <w:rFonts w:ascii="Courier New" w:hAnsi="Courier New" w:eastAsia="Courier New"/>
                <w:sz w:val="16"/>
              </w:rPr>
              <w:t>git pull origin main</w:t>
              <w:br/>
            </w:r>
            <w:r>
              <w:rPr>
                <w:rFonts w:ascii="Courier New" w:hAnsi="Courier New" w:eastAsia="Courier New"/>
                <w:sz w:val="16"/>
              </w:rPr>
              <w:t>pnpm build:contracts</w:t>
              <w:br/>
            </w:r>
            <w:r>
              <w:rPr>
                <w:rFonts w:ascii="Courier New" w:hAnsi="Courier New" w:eastAsia="Courier New"/>
                <w:sz w:val="16"/>
              </w:rPr>
              <w:t>pnpm --filter mobile-inspecciones lint</w:t>
              <w:br/>
            </w:r>
            <w:r>
              <w:rPr>
                <w:rFonts w:ascii="Courier New" w:hAnsi="Courier New" w:eastAsia="Courier New"/>
                <w:sz w:val="16"/>
              </w:rPr>
              <w:t>pnpm --filter mobile-inspecciones build</w:t>
              <w:br/>
            </w:r>
            <w:r>
              <w:rPr>
                <w:rFonts w:ascii="Courier New" w:hAnsi="Courier New" w:eastAsia="Courier New"/>
                <w:sz w:val="16"/>
              </w:rPr>
              <w:t>pnpm --filter mobile-incidentes lint</w:t>
              <w:br/>
            </w:r>
            <w:r>
              <w:rPr>
                <w:rFonts w:ascii="Courier New" w:hAnsi="Courier New" w:eastAsia="Courier New"/>
                <w:sz w:val="16"/>
              </w:rPr>
              <w:t>pnpm --filter mobile-incidentes build</w:t>
              <w:br/>
            </w:r>
            <w:r>
              <w:rPr>
                <w:rFonts w:ascii="Courier New" w:hAnsi="Courier New" w:eastAsia="Courier New"/>
                <w:sz w:val="16"/>
              </w:rPr>
              <w:br/>
            </w:r>
            <w:r>
              <w:rPr>
                <w:rFonts w:ascii="Courier New" w:hAnsi="Courier New" w:eastAsia="Courier New"/>
                <w:sz w:val="16"/>
              </w:rPr>
              <w:t># Validación manual adicional:</w:t>
              <w:br/>
            </w:r>
            <w:r>
              <w:rPr>
                <w:rFonts w:ascii="Courier New" w:hAnsi="Courier New" w:eastAsia="Courier New"/>
                <w:sz w:val="16"/>
              </w:rPr>
              <w:t># - captura de foto/GPS</w:t>
              <w:br/>
            </w:r>
            <w:r>
              <w:rPr>
                <w:rFonts w:ascii="Courier New" w:hAnsi="Courier New" w:eastAsia="Courier New"/>
                <w:sz w:val="16"/>
              </w:rPr>
              <w:t># - modo sin conexión</w:t>
              <w:br/>
            </w:r>
            <w:r>
              <w:rPr>
                <w:rFonts w:ascii="Courier New" w:hAnsi="Courier New" w:eastAsia="Courier New"/>
                <w:sz w:val="16"/>
              </w:rPr>
              <w:t># - sincronización posterior</w:t>
              <w:br/>
            </w:r>
          </w:p>
        </w:tc>
      </w:tr>
    </w:tbl>
    <w:p/>
    <w:p>
      <w:pPr>
        <w:pStyle w:val="Heading1"/>
      </w:pPr>
      <w:r>
        <w:t>12. Definition of Done por tipo de cambio</w:t>
      </w:r>
    </w:p>
    <w:tbl>
      <w:tblPr>
        <w:tblStyle w:val="TableGrid"/>
        <w:tblW w:type="auto" w:w="0"/>
        <w:jc w:val="center"/>
        <w:tblLook w:firstColumn="1" w:firstRow="1" w:lastColumn="0" w:lastRow="0" w:noHBand="0" w:noVBand="1" w:val="04A0"/>
      </w:tblPr>
      <w:tblGrid>
        <w:gridCol w:w="5328"/>
        <w:gridCol w:w="5328"/>
      </w:tblGrid>
      <w:tr>
        <w:tc>
          <w:tcPr>
            <w:tcW w:type="dxa" w:w="2376"/>
            <w:vAlign w:val="top"/>
            <w:shd w:fill="1F4E79"/>
          </w:tcPr>
          <w:p>
            <w:pPr>
              <w:jc w:val="left"/>
            </w:pPr>
            <w:r/>
            <w:r>
              <w:rPr>
                <w:b/>
                <w:color w:val="FFFFFF"/>
                <w:sz w:val="16"/>
              </w:rPr>
              <w:t>Tipo de cambio</w:t>
            </w:r>
          </w:p>
        </w:tc>
        <w:tc>
          <w:tcPr>
            <w:tcW w:type="dxa" w:w="8424"/>
            <w:vAlign w:val="top"/>
            <w:shd w:fill="1F4E79"/>
          </w:tcPr>
          <w:p>
            <w:pPr>
              <w:jc w:val="left"/>
            </w:pPr>
            <w:r/>
            <w:r>
              <w:rPr>
                <w:b/>
                <w:color w:val="FFFFFF"/>
                <w:sz w:val="16"/>
              </w:rPr>
              <w:t>Criterios mínimos de terminado</w:t>
            </w:r>
          </w:p>
        </w:tc>
      </w:tr>
      <w:tr>
        <w:tc>
          <w:tcPr>
            <w:tcW w:type="dxa" w:w="2376"/>
            <w:vAlign w:val="top"/>
          </w:tcPr>
          <w:p>
            <w:pPr>
              <w:jc w:val="left"/>
            </w:pPr>
            <w:r/>
            <w:r>
              <w:rPr>
                <w:b w:val="0"/>
                <w:sz w:val="16"/>
              </w:rPr>
              <w:t>Contrato compartido</w:t>
            </w:r>
          </w:p>
        </w:tc>
        <w:tc>
          <w:tcPr>
            <w:tcW w:type="dxa" w:w="8424"/>
            <w:vAlign w:val="top"/>
          </w:tcPr>
          <w:p>
            <w:pPr>
              <w:spacing w:after="0"/>
              <w:jc w:val="left"/>
            </w:pPr>
            <w:r/>
            <w:r>
              <w:rPr>
                <w:b w:val="0"/>
                <w:sz w:val="16"/>
              </w:rPr>
              <w:t>Build de contracts OK; exports actualizados; consumidores identificados; no dependencia framework; API/web/mobile ajustados si aplica.</w:t>
            </w:r>
          </w:p>
        </w:tc>
      </w:tr>
      <w:tr>
        <w:tc>
          <w:tcPr>
            <w:tcW w:type="dxa" w:w="2376"/>
            <w:vAlign w:val="top"/>
          </w:tcPr>
          <w:p>
            <w:pPr>
              <w:jc w:val="left"/>
            </w:pPr>
            <w:r/>
            <w:r>
              <w:rPr>
                <w:b w:val="0"/>
                <w:sz w:val="16"/>
              </w:rPr>
              <w:t>Endpoint API</w:t>
            </w:r>
          </w:p>
        </w:tc>
        <w:tc>
          <w:tcPr>
            <w:tcW w:type="dxa" w:w="8424"/>
            <w:vAlign w:val="top"/>
          </w:tcPr>
          <w:p>
            <w:pPr>
              <w:spacing w:after="0"/>
              <w:jc w:val="left"/>
            </w:pPr>
            <w:r/>
            <w:r>
              <w:rPr>
                <w:b w:val="0"/>
                <w:sz w:val="16"/>
              </w:rPr>
              <w:t>DTO implementa contrato; validation pipe cubre entrada; service contiene lógica; mapper transforma entity a response; tests o casos mínimos; lint/build OK.</w:t>
            </w:r>
          </w:p>
        </w:tc>
      </w:tr>
      <w:tr>
        <w:tc>
          <w:tcPr>
            <w:tcW w:type="dxa" w:w="2376"/>
            <w:vAlign w:val="top"/>
          </w:tcPr>
          <w:p>
            <w:pPr>
              <w:jc w:val="left"/>
            </w:pPr>
            <w:r/>
            <w:r>
              <w:rPr>
                <w:b w:val="0"/>
                <w:sz w:val="16"/>
              </w:rPr>
              <w:t>Entidad/migración</w:t>
            </w:r>
          </w:p>
        </w:tc>
        <w:tc>
          <w:tcPr>
            <w:tcW w:type="dxa" w:w="8424"/>
            <w:vAlign w:val="top"/>
          </w:tcPr>
          <w:p>
            <w:pPr>
              <w:spacing w:after="0"/>
              <w:jc w:val="left"/>
            </w:pPr>
            <w:r/>
            <w:r>
              <w:rPr>
                <w:b w:val="0"/>
                <w:sz w:val="16"/>
              </w:rPr>
              <w:t>DDL revisado; migración versionada; entidad alineada; índices y constraints; migration:run OK; seed si aplica; no synchronize.</w:t>
            </w:r>
          </w:p>
        </w:tc>
      </w:tr>
      <w:tr>
        <w:tc>
          <w:tcPr>
            <w:tcW w:type="dxa" w:w="2376"/>
            <w:vAlign w:val="top"/>
          </w:tcPr>
          <w:p>
            <w:pPr>
              <w:jc w:val="left"/>
            </w:pPr>
            <w:r/>
            <w:r>
              <w:rPr>
                <w:b w:val="0"/>
                <w:sz w:val="16"/>
              </w:rPr>
              <w:t>Vista web</w:t>
            </w:r>
          </w:p>
        </w:tc>
        <w:tc>
          <w:tcPr>
            <w:tcW w:type="dxa" w:w="8424"/>
            <w:vAlign w:val="top"/>
          </w:tcPr>
          <w:p>
            <w:pPr>
              <w:spacing w:after="0"/>
              <w:jc w:val="left"/>
            </w:pPr>
            <w:r/>
            <w:r>
              <w:rPr>
                <w:b w:val="0"/>
                <w:sz w:val="16"/>
              </w:rPr>
              <w:t>Responsive; UI kit; servicios/hooks; estados UI; roles; sin fetch directo; sin duplicar server state; build/lint OK.</w:t>
            </w:r>
          </w:p>
        </w:tc>
      </w:tr>
      <w:tr>
        <w:tc>
          <w:tcPr>
            <w:tcW w:type="dxa" w:w="2376"/>
            <w:vAlign w:val="top"/>
          </w:tcPr>
          <w:p>
            <w:pPr>
              <w:jc w:val="left"/>
            </w:pPr>
            <w:r/>
            <w:r>
              <w:rPr>
                <w:b w:val="0"/>
                <w:sz w:val="16"/>
              </w:rPr>
              <w:t>Vista mobile</w:t>
            </w:r>
          </w:p>
        </w:tc>
        <w:tc>
          <w:tcPr>
            <w:tcW w:type="dxa" w:w="8424"/>
            <w:vAlign w:val="top"/>
          </w:tcPr>
          <w:p>
            <w:pPr>
              <w:spacing w:after="0"/>
              <w:jc w:val="left"/>
            </w:pPr>
            <w:r/>
            <w:r>
              <w:rPr>
                <w:b w:val="0"/>
                <w:sz w:val="16"/>
              </w:rPr>
              <w:t>RN flex; targets táctiles; conectividad pobre; captura de evidencia/GPS si aplica; sync definida; build/lint OK.</w:t>
            </w:r>
          </w:p>
        </w:tc>
      </w:tr>
      <w:tr>
        <w:tc>
          <w:tcPr>
            <w:tcW w:type="dxa" w:w="2376"/>
            <w:vAlign w:val="top"/>
          </w:tcPr>
          <w:p>
            <w:pPr>
              <w:jc w:val="left"/>
            </w:pPr>
            <w:r/>
            <w:r>
              <w:rPr>
                <w:b w:val="0"/>
                <w:sz w:val="16"/>
              </w:rPr>
              <w:t>Dashboard/reporte</w:t>
            </w:r>
          </w:p>
        </w:tc>
        <w:tc>
          <w:tcPr>
            <w:tcW w:type="dxa" w:w="8424"/>
            <w:vAlign w:val="top"/>
          </w:tcPr>
          <w:p>
            <w:pPr>
              <w:spacing w:after="0"/>
              <w:jc w:val="left"/>
            </w:pPr>
            <w:r/>
            <w:r>
              <w:rPr>
                <w:b w:val="0"/>
                <w:sz w:val="16"/>
              </w:rPr>
              <w:t>Filtros definidos; KPIs claros; queries eficientes; exportación si aplica; no cargar árboles completos; validación con datos de prueba.</w:t>
            </w:r>
          </w:p>
        </w:tc>
      </w:tr>
      <w:tr>
        <w:tc>
          <w:tcPr>
            <w:tcW w:type="dxa" w:w="2376"/>
            <w:vAlign w:val="top"/>
          </w:tcPr>
          <w:p>
            <w:pPr>
              <w:jc w:val="left"/>
            </w:pPr>
            <w:r/>
            <w:r>
              <w:rPr>
                <w:b w:val="0"/>
                <w:sz w:val="16"/>
              </w:rPr>
              <w:t>Prompt IA</w:t>
            </w:r>
          </w:p>
        </w:tc>
        <w:tc>
          <w:tcPr>
            <w:tcW w:type="dxa" w:w="8424"/>
            <w:vAlign w:val="top"/>
          </w:tcPr>
          <w:p>
            <w:pPr>
              <w:spacing w:after="0"/>
              <w:jc w:val="left"/>
            </w:pPr>
            <w:r/>
            <w:r>
              <w:rPr>
                <w:b w:val="0"/>
                <w:sz w:val="16"/>
              </w:rPr>
              <w:t>Incluye docs obligatorios, alcance, archivos permitidos, restricciones, comandos y formato de entrega.</w:t>
            </w:r>
          </w:p>
        </w:tc>
      </w:tr>
    </w:tbl>
    <w:p/>
    <w:p>
      <w:pPr>
        <w:pStyle w:val="Heading1"/>
      </w:pPr>
      <w:r>
        <w:t>13. Riesgos, decisiones abiertas y recomendaciones</w:t>
      </w:r>
    </w:p>
    <w:tbl>
      <w:tblPr>
        <w:tblStyle w:val="TableGrid"/>
        <w:tblW w:type="auto" w:w="0"/>
        <w:jc w:val="center"/>
        <w:tblLook w:firstColumn="1" w:firstRow="1" w:lastColumn="0" w:lastRow="0" w:noHBand="0" w:noVBand="1" w:val="04A0"/>
      </w:tblPr>
      <w:tblGrid>
        <w:gridCol w:w="3552"/>
        <w:gridCol w:w="3552"/>
        <w:gridCol w:w="3552"/>
      </w:tblGrid>
      <w:tr>
        <w:tc>
          <w:tcPr>
            <w:tcW w:type="dxa" w:w="2016"/>
            <w:vAlign w:val="top"/>
            <w:shd w:fill="1F4E79"/>
          </w:tcPr>
          <w:p>
            <w:pPr>
              <w:jc w:val="left"/>
            </w:pPr>
            <w:r/>
            <w:r>
              <w:rPr>
                <w:b/>
                <w:color w:val="FFFFFF"/>
                <w:sz w:val="16"/>
              </w:rPr>
              <w:t>Tema</w:t>
            </w:r>
          </w:p>
        </w:tc>
        <w:tc>
          <w:tcPr>
            <w:tcW w:type="dxa" w:w="4752"/>
            <w:vAlign w:val="top"/>
            <w:shd w:fill="1F4E79"/>
          </w:tcPr>
          <w:p>
            <w:pPr>
              <w:jc w:val="left"/>
            </w:pPr>
            <w:r/>
            <w:r>
              <w:rPr>
                <w:b/>
                <w:color w:val="FFFFFF"/>
                <w:sz w:val="16"/>
              </w:rPr>
              <w:t>Riesgo si no se define</w:t>
            </w:r>
          </w:p>
        </w:tc>
        <w:tc>
          <w:tcPr>
            <w:tcW w:type="dxa" w:w="4032"/>
            <w:vAlign w:val="top"/>
            <w:shd w:fill="1F4E79"/>
          </w:tcPr>
          <w:p>
            <w:pPr>
              <w:jc w:val="left"/>
            </w:pPr>
            <w:r/>
            <w:r>
              <w:rPr>
                <w:b/>
                <w:color w:val="FFFFFF"/>
                <w:sz w:val="16"/>
              </w:rPr>
              <w:t>Recomendación</w:t>
            </w:r>
          </w:p>
        </w:tc>
      </w:tr>
      <w:tr>
        <w:tc>
          <w:tcPr>
            <w:tcW w:type="dxa" w:w="2016"/>
            <w:vAlign w:val="top"/>
          </w:tcPr>
          <w:p>
            <w:pPr>
              <w:jc w:val="left"/>
            </w:pPr>
            <w:r/>
            <w:r>
              <w:rPr>
                <w:b w:val="0"/>
                <w:sz w:val="16"/>
              </w:rPr>
              <w:t>Autenticación</w:t>
            </w:r>
          </w:p>
        </w:tc>
        <w:tc>
          <w:tcPr>
            <w:tcW w:type="dxa" w:w="4752"/>
            <w:vAlign w:val="top"/>
          </w:tcPr>
          <w:p>
            <w:pPr>
              <w:spacing w:after="0"/>
              <w:jc w:val="left"/>
            </w:pPr>
            <w:r/>
            <w:r>
              <w:rPr>
                <w:b w:val="0"/>
                <w:sz w:val="16"/>
              </w:rPr>
              <w:t>Diseñar usuarios/roles sin saber si habrá SSO, Azure AD/Entra ID, JWT propio o mixto.</w:t>
            </w:r>
          </w:p>
        </w:tc>
        <w:tc>
          <w:tcPr>
            <w:tcW w:type="dxa" w:w="4032"/>
            <w:vAlign w:val="top"/>
          </w:tcPr>
          <w:p>
            <w:pPr>
              <w:jc w:val="left"/>
            </w:pPr>
            <w:r/>
            <w:r>
              <w:rPr>
                <w:b w:val="0"/>
                <w:sz w:val="16"/>
              </w:rPr>
              <w:t>Definir estrategia mínima para MVP y adaptadores futuros.</w:t>
            </w:r>
          </w:p>
        </w:tc>
      </w:tr>
      <w:tr>
        <w:tc>
          <w:tcPr>
            <w:tcW w:type="dxa" w:w="2016"/>
            <w:vAlign w:val="top"/>
          </w:tcPr>
          <w:p>
            <w:pPr>
              <w:jc w:val="left"/>
            </w:pPr>
            <w:r/>
            <w:r>
              <w:rPr>
                <w:b w:val="0"/>
                <w:sz w:val="16"/>
              </w:rPr>
              <w:t>Roles por área/empresa</w:t>
            </w:r>
          </w:p>
        </w:tc>
        <w:tc>
          <w:tcPr>
            <w:tcW w:type="dxa" w:w="4752"/>
            <w:vAlign w:val="top"/>
          </w:tcPr>
          <w:p>
            <w:pPr>
              <w:jc w:val="left"/>
            </w:pPr>
            <w:r/>
            <w:r>
              <w:rPr>
                <w:b w:val="0"/>
                <w:sz w:val="16"/>
              </w:rPr>
              <w:t>Permisos globales insuficientes para contratistas o áreas críticas como Mina.</w:t>
            </w:r>
          </w:p>
        </w:tc>
        <w:tc>
          <w:tcPr>
            <w:tcW w:type="dxa" w:w="4032"/>
            <w:vAlign w:val="top"/>
          </w:tcPr>
          <w:p>
            <w:pPr>
              <w:jc w:val="left"/>
            </w:pPr>
            <w:r/>
            <w:r>
              <w:rPr>
                <w:b w:val="0"/>
                <w:sz w:val="16"/>
              </w:rPr>
              <w:t>Modelar roles con scope opcional por business_unit, area y company.</w:t>
            </w:r>
          </w:p>
        </w:tc>
      </w:tr>
      <w:tr>
        <w:tc>
          <w:tcPr>
            <w:tcW w:type="dxa" w:w="2016"/>
            <w:vAlign w:val="top"/>
          </w:tcPr>
          <w:p>
            <w:pPr>
              <w:jc w:val="left"/>
            </w:pPr>
            <w:r/>
            <w:r>
              <w:rPr>
                <w:b w:val="0"/>
                <w:sz w:val="16"/>
              </w:rPr>
              <w:t>Offline mobile</w:t>
            </w:r>
          </w:p>
        </w:tc>
        <w:tc>
          <w:tcPr>
            <w:tcW w:type="dxa" w:w="4752"/>
            <w:vAlign w:val="top"/>
          </w:tcPr>
          <w:p>
            <w:pPr>
              <w:spacing w:after="0"/>
              <w:jc w:val="left"/>
            </w:pPr>
            <w:r/>
            <w:r>
              <w:rPr>
                <w:b w:val="0"/>
                <w:sz w:val="16"/>
              </w:rPr>
              <w:t>Prometer operación en terreno sin estrategia de cola, conflictos y sincronización.</w:t>
            </w:r>
          </w:p>
        </w:tc>
        <w:tc>
          <w:tcPr>
            <w:tcW w:type="dxa" w:w="4032"/>
            <w:vAlign w:val="top"/>
          </w:tcPr>
          <w:p>
            <w:pPr>
              <w:jc w:val="left"/>
            </w:pPr>
            <w:r/>
            <w:r>
              <w:rPr>
                <w:b w:val="0"/>
                <w:sz w:val="16"/>
              </w:rPr>
              <w:t>Definir si MVP será offline-first completo o tolerante a cortes.</w:t>
            </w:r>
          </w:p>
        </w:tc>
      </w:tr>
      <w:tr>
        <w:tc>
          <w:tcPr>
            <w:tcW w:type="dxa" w:w="2016"/>
            <w:vAlign w:val="top"/>
          </w:tcPr>
          <w:p>
            <w:pPr>
              <w:jc w:val="left"/>
            </w:pPr>
            <w:r/>
            <w:r>
              <w:rPr>
                <w:b w:val="0"/>
                <w:sz w:val="16"/>
              </w:rPr>
              <w:t>PDF</w:t>
            </w:r>
          </w:p>
        </w:tc>
        <w:tc>
          <w:tcPr>
            <w:tcW w:type="dxa" w:w="4752"/>
            <w:vAlign w:val="top"/>
          </w:tcPr>
          <w:p>
            <w:pPr>
              <w:jc w:val="left"/>
            </w:pPr>
            <w:r/>
            <w:r>
              <w:rPr>
                <w:b w:val="0"/>
                <w:sz w:val="16"/>
              </w:rPr>
              <w:t>Generar PDFs sin saber si deben quedar almacenados como evidencia final.</w:t>
            </w:r>
          </w:p>
        </w:tc>
        <w:tc>
          <w:tcPr>
            <w:tcW w:type="dxa" w:w="4032"/>
            <w:vAlign w:val="top"/>
          </w:tcPr>
          <w:p>
            <w:pPr>
              <w:jc w:val="left"/>
            </w:pPr>
            <w:r/>
            <w:r>
              <w:rPr>
                <w:b w:val="0"/>
                <w:sz w:val="16"/>
              </w:rPr>
              <w:t>Definir si PDF es on-demand o archivo persistido en Blob Storage.</w:t>
            </w:r>
          </w:p>
        </w:tc>
      </w:tr>
      <w:tr>
        <w:tc>
          <w:tcPr>
            <w:tcW w:type="dxa" w:w="2016"/>
            <w:vAlign w:val="top"/>
          </w:tcPr>
          <w:p>
            <w:pPr>
              <w:jc w:val="left"/>
            </w:pPr>
            <w:r/>
            <w:r>
              <w:rPr>
                <w:b w:val="0"/>
                <w:sz w:val="16"/>
              </w:rPr>
              <w:t>Figma Make</w:t>
            </w:r>
          </w:p>
        </w:tc>
        <w:tc>
          <w:tcPr>
            <w:tcW w:type="dxa" w:w="4752"/>
            <w:vAlign w:val="top"/>
          </w:tcPr>
          <w:p>
            <w:pPr>
              <w:jc w:val="left"/>
            </w:pPr>
            <w:r/>
            <w:r>
              <w:rPr>
                <w:b w:val="0"/>
                <w:sz w:val="16"/>
              </w:rPr>
              <w:t>Integrar vistas pixel-perfect no mantenibles.</w:t>
            </w:r>
          </w:p>
        </w:tc>
        <w:tc>
          <w:tcPr>
            <w:tcW w:type="dxa" w:w="4032"/>
            <w:vAlign w:val="top"/>
          </w:tcPr>
          <w:p>
            <w:pPr>
              <w:jc w:val="left"/>
            </w:pPr>
            <w:r/>
            <w:r>
              <w:rPr>
                <w:b w:val="0"/>
                <w:sz w:val="16"/>
              </w:rPr>
              <w:t>Forzar brief, grid/flex, shadcn/ui, tokens y revisión responsive.</w:t>
            </w:r>
          </w:p>
        </w:tc>
      </w:tr>
      <w:tr>
        <w:tc>
          <w:tcPr>
            <w:tcW w:type="dxa" w:w="2016"/>
            <w:vAlign w:val="top"/>
          </w:tcPr>
          <w:p>
            <w:pPr>
              <w:jc w:val="left"/>
            </w:pPr>
            <w:r/>
            <w:r>
              <w:rPr>
                <w:b w:val="0"/>
                <w:sz w:val="16"/>
              </w:rPr>
              <w:t>IA</w:t>
            </w:r>
          </w:p>
        </w:tc>
        <w:tc>
          <w:tcPr>
            <w:tcW w:type="dxa" w:w="4752"/>
            <w:vAlign w:val="top"/>
          </w:tcPr>
          <w:p>
            <w:pPr>
              <w:jc w:val="left"/>
            </w:pPr>
            <w:r/>
            <w:r>
              <w:rPr>
                <w:b w:val="0"/>
                <w:sz w:val="16"/>
              </w:rPr>
              <w:t>Confundir sugerencias con decisiones automáticas.</w:t>
            </w:r>
          </w:p>
        </w:tc>
        <w:tc>
          <w:tcPr>
            <w:tcW w:type="dxa" w:w="4032"/>
            <w:vAlign w:val="top"/>
          </w:tcPr>
          <w:p>
            <w:pPr>
              <w:jc w:val="left"/>
            </w:pPr>
            <w:r/>
            <w:r>
              <w:rPr>
                <w:b w:val="0"/>
                <w:sz w:val="16"/>
              </w:rPr>
              <w:t>IA asistiva, con confirmación humana y feedback persistido.</w:t>
            </w:r>
          </w:p>
        </w:tc>
      </w:tr>
      <w:tr>
        <w:tc>
          <w:tcPr>
            <w:tcW w:type="dxa" w:w="2016"/>
            <w:vAlign w:val="top"/>
          </w:tcPr>
          <w:p>
            <w:pPr>
              <w:jc w:val="left"/>
            </w:pPr>
            <w:r/>
            <w:r>
              <w:rPr>
                <w:b w:val="0"/>
                <w:sz w:val="16"/>
              </w:rPr>
              <w:t>SPR/Emisiones</w:t>
            </w:r>
          </w:p>
        </w:tc>
        <w:tc>
          <w:tcPr>
            <w:tcW w:type="dxa" w:w="4752"/>
            <w:vAlign w:val="top"/>
          </w:tcPr>
          <w:p>
            <w:pPr>
              <w:jc w:val="left"/>
            </w:pPr>
            <w:r/>
            <w:r>
              <w:rPr>
                <w:b w:val="0"/>
                <w:sz w:val="16"/>
              </w:rPr>
              <w:t>Mezclar reglas regulatorias complejas con MVP operativo sin validación.</w:t>
            </w:r>
          </w:p>
        </w:tc>
        <w:tc>
          <w:tcPr>
            <w:tcW w:type="dxa" w:w="4032"/>
            <w:vAlign w:val="top"/>
          </w:tcPr>
          <w:p>
            <w:pPr>
              <w:spacing w:after="0"/>
              <w:jc w:val="left"/>
            </w:pPr>
            <w:r/>
            <w:r>
              <w:rPr>
                <w:b w:val="0"/>
                <w:sz w:val="16"/>
              </w:rPr>
              <w:t>Separar módulos y validar reglas con negocio antes de cerrar migraciones finales.</w:t>
            </w:r>
          </w:p>
        </w:tc>
      </w:tr>
      <w:tr>
        <w:tc>
          <w:tcPr>
            <w:tcW w:type="dxa" w:w="2016"/>
            <w:vAlign w:val="top"/>
          </w:tcPr>
          <w:p>
            <w:pPr>
              <w:jc w:val="left"/>
            </w:pPr>
            <w:r/>
            <w:r>
              <w:rPr>
                <w:b w:val="0"/>
                <w:sz w:val="16"/>
              </w:rPr>
              <w:t>Seeds</w:t>
            </w:r>
          </w:p>
        </w:tc>
        <w:tc>
          <w:tcPr>
            <w:tcW w:type="dxa" w:w="4752"/>
            <w:vAlign w:val="top"/>
          </w:tcPr>
          <w:p>
            <w:pPr>
              <w:jc w:val="left"/>
            </w:pPr>
            <w:r/>
            <w:r>
              <w:rPr>
                <w:b w:val="0"/>
                <w:sz w:val="16"/>
              </w:rPr>
              <w:t>Duplicación de catálogos al correr seeds varias veces.</w:t>
            </w:r>
          </w:p>
        </w:tc>
        <w:tc>
          <w:tcPr>
            <w:tcW w:type="dxa" w:w="4032"/>
            <w:vAlign w:val="top"/>
          </w:tcPr>
          <w:p>
            <w:pPr>
              <w:jc w:val="left"/>
            </w:pPr>
            <w:r/>
            <w:r>
              <w:rPr>
                <w:b w:val="0"/>
                <w:sz w:val="16"/>
              </w:rPr>
              <w:t>Seeds idempotentes con upsert/on conflict o scripts separados para demo.</w:t>
            </w:r>
          </w:p>
        </w:tc>
      </w:tr>
    </w:tbl>
    <w:p/>
    <w:p>
      <w:pPr>
        <w:pStyle w:val="Heading1"/>
      </w:pPr>
      <w:r>
        <w:t>14. Anexos</w:t>
      </w:r>
    </w:p>
    <w:p>
      <w:pPr>
        <w:pStyle w:val="Heading2"/>
      </w:pPr>
      <w:r>
        <w:t>14.1 Fuentes internas consideradas</w:t>
      </w:r>
    </w:p>
    <w:tbl>
      <w:tblPr>
        <w:tblStyle w:val="TableGrid"/>
        <w:tblW w:type="auto" w:w="0"/>
        <w:jc w:val="center"/>
        <w:tblLook w:firstColumn="1" w:firstRow="1" w:lastColumn="0" w:lastRow="0" w:noHBand="0" w:noVBand="1" w:val="04A0"/>
      </w:tblPr>
      <w:tblGrid>
        <w:gridCol w:w="5328"/>
        <w:gridCol w:w="5328"/>
      </w:tblGrid>
      <w:tr>
        <w:tc>
          <w:tcPr>
            <w:tcW w:type="dxa" w:w="3888"/>
            <w:vAlign w:val="top"/>
            <w:shd w:fill="1F4E79"/>
          </w:tcPr>
          <w:p>
            <w:pPr>
              <w:jc w:val="left"/>
            </w:pPr>
            <w:r/>
            <w:r>
              <w:rPr>
                <w:b/>
                <w:color w:val="FFFFFF"/>
                <w:sz w:val="16"/>
              </w:rPr>
              <w:t>Fuente</w:t>
            </w:r>
          </w:p>
        </w:tc>
        <w:tc>
          <w:tcPr>
            <w:tcW w:type="dxa" w:w="6912"/>
            <w:vAlign w:val="top"/>
            <w:shd w:fill="1F4E79"/>
          </w:tcPr>
          <w:p>
            <w:pPr>
              <w:jc w:val="left"/>
            </w:pPr>
            <w:r/>
            <w:r>
              <w:rPr>
                <w:b/>
                <w:color w:val="FFFFFF"/>
                <w:sz w:val="16"/>
              </w:rPr>
              <w:t>Uso dentro del EDT / ERS</w:t>
            </w:r>
          </w:p>
        </w:tc>
      </w:tr>
      <w:tr>
        <w:tc>
          <w:tcPr>
            <w:tcW w:type="dxa" w:w="3888"/>
            <w:vAlign w:val="top"/>
          </w:tcPr>
          <w:p>
            <w:pPr>
              <w:jc w:val="left"/>
            </w:pPr>
            <w:r/>
            <w:r>
              <w:rPr>
                <w:b w:val="0"/>
                <w:sz w:val="16"/>
              </w:rPr>
              <w:t>Repo: README.md</w:t>
            </w:r>
          </w:p>
        </w:tc>
        <w:tc>
          <w:tcPr>
            <w:tcW w:type="dxa" w:w="6912"/>
            <w:vAlign w:val="top"/>
          </w:tcPr>
          <w:p>
            <w:pPr>
              <w:spacing w:after="0"/>
              <w:jc w:val="left"/>
            </w:pPr>
            <w:r/>
            <w:r>
              <w:rPr>
                <w:b w:val="0"/>
                <w:sz w:val="16"/>
              </w:rPr>
              <w:t>Estructura monorepo, stack, comandos, endpoints de ejemplo y contratos compartidos.</w:t>
            </w:r>
          </w:p>
        </w:tc>
      </w:tr>
      <w:tr>
        <w:tc>
          <w:tcPr>
            <w:tcW w:type="dxa" w:w="3888"/>
            <w:vAlign w:val="top"/>
          </w:tcPr>
          <w:p>
            <w:pPr>
              <w:jc w:val="left"/>
            </w:pPr>
            <w:r/>
            <w:r>
              <w:rPr>
                <w:b w:val="0"/>
                <w:sz w:val="16"/>
              </w:rPr>
              <w:t>Repo: PROJECT_CONTEXT.md</w:t>
            </w:r>
          </w:p>
        </w:tc>
        <w:tc>
          <w:tcPr>
            <w:tcW w:type="dxa" w:w="6912"/>
            <w:vAlign w:val="top"/>
          </w:tcPr>
          <w:p>
            <w:pPr>
              <w:jc w:val="left"/>
            </w:pPr>
            <w:r/>
            <w:r>
              <w:rPr>
                <w:b w:val="0"/>
                <w:sz w:val="16"/>
              </w:rPr>
              <w:t>Dominio funcional, roles, módulos y límites iniciales.</w:t>
            </w:r>
          </w:p>
        </w:tc>
      </w:tr>
      <w:tr>
        <w:tc>
          <w:tcPr>
            <w:tcW w:type="dxa" w:w="3888"/>
            <w:vAlign w:val="top"/>
          </w:tcPr>
          <w:p>
            <w:pPr>
              <w:jc w:val="left"/>
            </w:pPr>
            <w:r/>
            <w:r>
              <w:rPr>
                <w:b w:val="0"/>
                <w:sz w:val="16"/>
              </w:rPr>
              <w:t>Repo: ARCHITECTURE.md</w:t>
            </w:r>
          </w:p>
        </w:tc>
        <w:tc>
          <w:tcPr>
            <w:tcW w:type="dxa" w:w="6912"/>
            <w:vAlign w:val="top"/>
          </w:tcPr>
          <w:p>
            <w:pPr>
              <w:jc w:val="left"/>
            </w:pPr>
            <w:r/>
            <w:r>
              <w:rPr>
                <w:b w:val="0"/>
                <w:sz w:val="16"/>
              </w:rPr>
              <w:t>Stack, flujo de datos, dual build de contracts y reglas duras de dependencia.</w:t>
            </w:r>
          </w:p>
        </w:tc>
      </w:tr>
      <w:tr>
        <w:tc>
          <w:tcPr>
            <w:tcW w:type="dxa" w:w="3888"/>
            <w:vAlign w:val="top"/>
          </w:tcPr>
          <w:p>
            <w:pPr>
              <w:jc w:val="left"/>
            </w:pPr>
            <w:r/>
            <w:r>
              <w:rPr>
                <w:b w:val="0"/>
                <w:sz w:val="16"/>
              </w:rPr>
              <w:t>Repo: CONTRACTS_GUIDELINES.md</w:t>
            </w:r>
          </w:p>
        </w:tc>
        <w:tc>
          <w:tcPr>
            <w:tcW w:type="dxa" w:w="6912"/>
            <w:vAlign w:val="top"/>
          </w:tcPr>
          <w:p>
            <w:pPr>
              <w:jc w:val="left"/>
            </w:pPr>
            <w:r/>
            <w:r>
              <w:rPr>
                <w:b w:val="0"/>
                <w:sz w:val="16"/>
              </w:rPr>
              <w:t>Patrón @aurelia/contracts, DTO implements, qué vive/no vive en contracts.</w:t>
            </w:r>
          </w:p>
        </w:tc>
      </w:tr>
      <w:tr>
        <w:tc>
          <w:tcPr>
            <w:tcW w:type="dxa" w:w="3888"/>
            <w:vAlign w:val="top"/>
          </w:tcPr>
          <w:p>
            <w:pPr>
              <w:jc w:val="left"/>
            </w:pPr>
            <w:r/>
            <w:r>
              <w:rPr>
                <w:b w:val="0"/>
                <w:sz w:val="16"/>
              </w:rPr>
              <w:t>Repo: API_GUIDELINES.md</w:t>
            </w:r>
          </w:p>
        </w:tc>
        <w:tc>
          <w:tcPr>
            <w:tcW w:type="dxa" w:w="6912"/>
            <w:vAlign w:val="top"/>
          </w:tcPr>
          <w:p>
            <w:pPr>
              <w:jc w:val="left"/>
            </w:pPr>
            <w:r/>
            <w:r>
              <w:rPr>
                <w:b w:val="0"/>
                <w:sz w:val="16"/>
              </w:rPr>
              <w:t>Estructura backend, DTOs, mappers, migraciones y calidad.</w:t>
            </w:r>
          </w:p>
        </w:tc>
      </w:tr>
      <w:tr>
        <w:tc>
          <w:tcPr>
            <w:tcW w:type="dxa" w:w="3888"/>
            <w:vAlign w:val="top"/>
          </w:tcPr>
          <w:p>
            <w:pPr>
              <w:jc w:val="left"/>
            </w:pPr>
            <w:r/>
            <w:r>
              <w:rPr>
                <w:b w:val="0"/>
                <w:sz w:val="16"/>
              </w:rPr>
              <w:t>Repo: FRONTEND_GUIDELINES.md</w:t>
            </w:r>
          </w:p>
        </w:tc>
        <w:tc>
          <w:tcPr>
            <w:tcW w:type="dxa" w:w="6912"/>
            <w:vAlign w:val="top"/>
          </w:tcPr>
          <w:p>
            <w:pPr>
              <w:jc w:val="left"/>
            </w:pPr>
            <w:r/>
            <w:r>
              <w:rPr>
                <w:b w:val="0"/>
                <w:sz w:val="16"/>
              </w:rPr>
              <w:t>Estructura web, estado, services, roles y rutas.</w:t>
            </w:r>
          </w:p>
        </w:tc>
      </w:tr>
      <w:tr>
        <w:tc>
          <w:tcPr>
            <w:tcW w:type="dxa" w:w="3888"/>
            <w:vAlign w:val="top"/>
          </w:tcPr>
          <w:p>
            <w:pPr>
              <w:jc w:val="left"/>
            </w:pPr>
            <w:r/>
            <w:r>
              <w:rPr>
                <w:b w:val="0"/>
                <w:sz w:val="16"/>
              </w:rPr>
              <w:t>Repo: FIGMA_MAKE_BRIEF.md</w:t>
            </w:r>
          </w:p>
        </w:tc>
        <w:tc>
          <w:tcPr>
            <w:tcW w:type="dxa" w:w="6912"/>
            <w:vAlign w:val="top"/>
          </w:tcPr>
          <w:p>
            <w:pPr>
              <w:jc w:val="left"/>
            </w:pPr>
            <w:r/>
            <w:r>
              <w:rPr>
                <w:b w:val="0"/>
                <w:sz w:val="16"/>
              </w:rPr>
              <w:t>Reglas para integración de diseños, UI kit, responsive, contratos y checklist.</w:t>
            </w:r>
          </w:p>
        </w:tc>
      </w:tr>
      <w:tr>
        <w:tc>
          <w:tcPr>
            <w:tcW w:type="dxa" w:w="3888"/>
            <w:vAlign w:val="top"/>
          </w:tcPr>
          <w:p>
            <w:pPr>
              <w:jc w:val="left"/>
            </w:pPr>
            <w:r/>
            <w:r>
              <w:rPr>
                <w:b w:val="0"/>
                <w:sz w:val="16"/>
              </w:rPr>
              <w:t>Repo: docs/database/01-06</w:t>
            </w:r>
          </w:p>
        </w:tc>
        <w:tc>
          <w:tcPr>
            <w:tcW w:type="dxa" w:w="6912"/>
            <w:vAlign w:val="top"/>
          </w:tcPr>
          <w:p>
            <w:pPr>
              <w:jc w:val="left"/>
            </w:pPr>
            <w:r/>
            <w:r>
              <w:rPr>
                <w:b w:val="0"/>
                <w:sz w:val="16"/>
              </w:rPr>
              <w:t>Requerimientos de BD, modelo de dominio, DDL draft, plan TypeORM y roadmap.</w:t>
            </w:r>
          </w:p>
        </w:tc>
      </w:tr>
      <w:tr>
        <w:tc>
          <w:tcPr>
            <w:tcW w:type="dxa" w:w="3888"/>
            <w:vAlign w:val="top"/>
          </w:tcPr>
          <w:p>
            <w:pPr>
              <w:jc w:val="left"/>
            </w:pPr>
            <w:r/>
            <w:r>
              <w:rPr>
                <w:b w:val="0"/>
                <w:sz w:val="16"/>
              </w:rPr>
              <w:t>Guía Maestra de referencias para la creación de la base de datos</w:t>
            </w:r>
          </w:p>
        </w:tc>
        <w:tc>
          <w:tcPr>
            <w:tcW w:type="dxa" w:w="6912"/>
            <w:vAlign w:val="top"/>
          </w:tcPr>
          <w:p>
            <w:pPr>
              <w:jc w:val="left"/>
            </w:pPr>
            <w:r/>
            <w:r>
              <w:rPr>
                <w:b w:val="0"/>
                <w:sz w:val="16"/>
              </w:rPr>
              <w:t>Incidentes, SPR, impuesto verde, inspecciones, entidades y reglas de negocio.</w:t>
            </w:r>
          </w:p>
        </w:tc>
      </w:tr>
      <w:tr>
        <w:tc>
          <w:tcPr>
            <w:tcW w:type="dxa" w:w="3888"/>
            <w:vAlign w:val="top"/>
          </w:tcPr>
          <w:p>
            <w:pPr>
              <w:jc w:val="left"/>
            </w:pPr>
            <w:r/>
            <w:r>
              <w:rPr>
                <w:b w:val="0"/>
                <w:sz w:val="16"/>
              </w:rPr>
              <w:t>CCM / Autoevaluación / Self Assessment</w:t>
            </w:r>
          </w:p>
        </w:tc>
        <w:tc>
          <w:tcPr>
            <w:tcW w:type="dxa" w:w="6912"/>
            <w:vAlign w:val="top"/>
          </w:tcPr>
          <w:p>
            <w:pPr>
              <w:jc w:val="left"/>
            </w:pPr>
            <w:r/>
            <w:r>
              <w:rPr>
                <w:b w:val="0"/>
                <w:sz w:val="16"/>
              </w:rPr>
              <w:t>MUE, controles críticos, evidencias esperadas y áreas responsables.</w:t>
            </w:r>
          </w:p>
        </w:tc>
      </w:tr>
      <w:tr>
        <w:tc>
          <w:tcPr>
            <w:tcW w:type="dxa" w:w="3888"/>
            <w:vAlign w:val="top"/>
          </w:tcPr>
          <w:p>
            <w:pPr>
              <w:jc w:val="left"/>
            </w:pPr>
            <w:r/>
            <w:r>
              <w:rPr>
                <w:b w:val="0"/>
                <w:sz w:val="16"/>
              </w:rPr>
              <w:t>Imágenes de diseño</w:t>
            </w:r>
          </w:p>
        </w:tc>
        <w:tc>
          <w:tcPr>
            <w:tcW w:type="dxa" w:w="6912"/>
            <w:vAlign w:val="top"/>
          </w:tcPr>
          <w:p>
            <w:pPr>
              <w:spacing w:after="0"/>
              <w:jc w:val="left"/>
            </w:pPr>
            <w:r/>
            <w:r>
              <w:rPr>
                <w:b w:val="0"/>
                <w:sz w:val="16"/>
              </w:rPr>
              <w:t>Pantallas de incidentes, inspecciones, dashboards, PDF, usuarios, notificaciones y flujos.</w:t>
            </w:r>
          </w:p>
        </w:tc>
      </w:tr>
    </w:tbl>
    <w:p/>
    <w:p>
      <w:pPr>
        <w:pStyle w:val="Heading2"/>
      </w:pPr>
      <w:r>
        <w:t>14.2 Mermaid snippets base para ERD segmentados</w:t>
      </w:r>
    </w:p>
    <w:p>
      <w:r>
        <w:t>Estos snippets pueden copiarse a Mermaid Live Editor y completarse contra el DDL real conforme avancen las migraciones.</w:t>
      </w:r>
    </w:p>
    <w:p>
      <w:pPr>
        <w:pStyle w:val="Heading3"/>
      </w:pPr>
      <w:r>
        <w:t>Core organizacional</w:t>
      </w:r>
    </w:p>
    <w:tbl>
      <w:tblPr>
        <w:tblStyle w:val="TableGrid"/>
        <w:tblW w:type="auto" w:w="0"/>
        <w:tblLook w:firstColumn="1" w:firstRow="1" w:lastColumn="0" w:lastRow="0" w:noHBand="0" w:noVBand="1" w:val="04A0"/>
      </w:tblPr>
      <w:tblGrid>
        <w:gridCol w:w="10656"/>
      </w:tblGrid>
      <w:tr>
        <w:tc>
          <w:tcPr>
            <w:tcW w:type="dxa" w:w="10656"/>
            <w:shd w:fill="F2F2F2"/>
          </w:tcPr>
          <w:p>
            <w:pPr>
              <w:spacing w:after="0"/>
            </w:pPr>
            <w:r/>
            <w:r>
              <w:rPr>
                <w:rFonts w:ascii="Courier New" w:hAnsi="Courier New" w:eastAsia="Courier New"/>
                <w:sz w:val="14"/>
              </w:rPr>
              <w:t>erDiagram</w:t>
              <w:br/>
            </w:r>
            <w:r>
              <w:rPr>
                <w:rFonts w:ascii="Courier New" w:hAnsi="Courier New" w:eastAsia="Courier New"/>
                <w:sz w:val="14"/>
              </w:rPr>
              <w:t xml:space="preserve">  BUSINESS_UNITS ||--o{ GERENCIAS : contiene</w:t>
              <w:br/>
            </w:r>
            <w:r>
              <w:rPr>
                <w:rFonts w:ascii="Courier New" w:hAnsi="Courier New" w:eastAsia="Courier New"/>
                <w:sz w:val="14"/>
              </w:rPr>
              <w:t xml:space="preserve">  GERENCIAS ||--o{ AREAS : contiene</w:t>
              <w:br/>
            </w:r>
            <w:r>
              <w:rPr>
                <w:rFonts w:ascii="Courier New" w:hAnsi="Courier New" w:eastAsia="Courier New"/>
                <w:sz w:val="14"/>
              </w:rPr>
              <w:t xml:space="preserve">  AREAS ||--o{ SECTORS : contiene</w:t>
              <w:br/>
            </w:r>
            <w:r>
              <w:rPr>
                <w:rFonts w:ascii="Courier New" w:hAnsi="Courier New" w:eastAsia="Courier New"/>
                <w:sz w:val="14"/>
              </w:rPr>
              <w:t xml:space="preserve">  SECTORS ||--o{ LOCATIONS : contiene</w:t>
              <w:br/>
            </w:r>
            <w:r>
              <w:rPr>
                <w:rFonts w:ascii="Courier New" w:hAnsi="Courier New" w:eastAsia="Courier New"/>
                <w:sz w:val="14"/>
              </w:rPr>
              <w:t xml:space="preserve">  COMPANIES ||--o{ USERS : emplea</w:t>
              <w:br/>
            </w:r>
            <w:r>
              <w:rPr>
                <w:rFonts w:ascii="Courier New" w:hAnsi="Courier New" w:eastAsia="Courier New"/>
                <w:sz w:val="14"/>
              </w:rPr>
              <w:t xml:space="preserve">  USERS ||--o{ USER_ROLES : asigna</w:t>
              <w:br/>
            </w:r>
            <w:r>
              <w:rPr>
                <w:rFonts w:ascii="Courier New" w:hAnsi="Courier New" w:eastAsia="Courier New"/>
                <w:sz w:val="14"/>
              </w:rPr>
              <w:t xml:space="preserve">  ROLES ||--o{ USER_ROLES : posee</w:t>
              <w:br/>
            </w:r>
            <w:r>
              <w:rPr>
                <w:rFonts w:ascii="Courier New" w:hAnsi="Courier New" w:eastAsia="Courier New"/>
                <w:sz w:val="14"/>
              </w:rPr>
              <w:t xml:space="preserve">  ROLES ||--o{ ROLE_PERMISSIONS : habilita</w:t>
              <w:br/>
            </w:r>
            <w:r>
              <w:rPr>
                <w:rFonts w:ascii="Courier New" w:hAnsi="Courier New" w:eastAsia="Courier New"/>
                <w:sz w:val="14"/>
              </w:rPr>
              <w:t xml:space="preserve">  PERMISSIONS ||--o{ ROLE_PERMISSIONS : concede</w:t>
              <w:br/>
            </w:r>
            <w:r>
              <w:rPr>
                <w:rFonts w:ascii="Courier New" w:hAnsi="Courier New" w:eastAsia="Courier New"/>
                <w:sz w:val="14"/>
              </w:rPr>
              <w:t xml:space="preserve">  USERS ||--o{ USER_AREA_ASSIGNMENTS : cubre</w:t>
              <w:br/>
            </w:r>
            <w:r>
              <w:rPr>
                <w:rFonts w:ascii="Courier New" w:hAnsi="Courier New" w:eastAsia="Courier New"/>
                <w:sz w:val="14"/>
              </w:rPr>
              <w:t xml:space="preserve">  AREAS ||--o{ USER_AREA_ASSIGNMENTS : asignada</w:t>
              <w:br/>
            </w:r>
          </w:p>
        </w:tc>
      </w:tr>
    </w:tbl>
    <w:p/>
    <w:p>
      <w:pPr>
        <w:pStyle w:val="Heading3"/>
      </w:pPr>
      <w:r>
        <w:t>Transversal</w:t>
      </w:r>
    </w:p>
    <w:tbl>
      <w:tblPr>
        <w:tblStyle w:val="TableGrid"/>
        <w:tblW w:type="auto" w:w="0"/>
        <w:tblLook w:firstColumn="1" w:firstRow="1" w:lastColumn="0" w:lastRow="0" w:noHBand="0" w:noVBand="1" w:val="04A0"/>
      </w:tblPr>
      <w:tblGrid>
        <w:gridCol w:w="10656"/>
      </w:tblGrid>
      <w:tr>
        <w:tc>
          <w:tcPr>
            <w:tcW w:type="dxa" w:w="10656"/>
            <w:shd w:fill="F2F2F2"/>
          </w:tcPr>
          <w:p>
            <w:pPr>
              <w:spacing w:after="0"/>
            </w:pPr>
            <w:r/>
            <w:r>
              <w:rPr>
                <w:rFonts w:ascii="Courier New" w:hAnsi="Courier New" w:eastAsia="Courier New"/>
                <w:sz w:val="14"/>
              </w:rPr>
              <w:t>erDiagram</w:t>
              <w:br/>
            </w:r>
            <w:r>
              <w:rPr>
                <w:rFonts w:ascii="Courier New" w:hAnsi="Courier New" w:eastAsia="Courier New"/>
                <w:sz w:val="14"/>
              </w:rPr>
              <w:t xml:space="preserve">  FILES ||--o{ EVIDENCES : respalda</w:t>
              <w:br/>
            </w:r>
            <w:r>
              <w:rPr>
                <w:rFonts w:ascii="Courier New" w:hAnsi="Courier New" w:eastAsia="Courier New"/>
                <w:sz w:val="14"/>
              </w:rPr>
              <w:t xml:space="preserve">  EVIDENCES ||--o{ EVIDENCE_LINKS : enlaza</w:t>
              <w:br/>
            </w:r>
            <w:r>
              <w:rPr>
                <w:rFonts w:ascii="Courier New" w:hAnsi="Courier New" w:eastAsia="Courier New"/>
                <w:sz w:val="14"/>
              </w:rPr>
              <w:t xml:space="preserve">  ENTITY_REFERENCE_TYPES ||--o{ EVIDENCE_LINKS : valida_tipo</w:t>
              <w:br/>
            </w:r>
            <w:r>
              <w:rPr>
                <w:rFonts w:ascii="Courier New" w:hAnsi="Courier New" w:eastAsia="Courier New"/>
                <w:sz w:val="14"/>
              </w:rPr>
              <w:t xml:space="preserve">  ENTITY_REFERENCE_TYPES ||--o{ COMMENTS : valida_tipo</w:t>
              <w:br/>
            </w:r>
            <w:r>
              <w:rPr>
                <w:rFonts w:ascii="Courier New" w:hAnsi="Courier New" w:eastAsia="Courier New"/>
                <w:sz w:val="14"/>
              </w:rPr>
              <w:t xml:space="preserve">  ENTITY_REFERENCE_TYPES ||--o{ AUDIT_LOGS : valida_tipo</w:t>
              <w:br/>
            </w:r>
            <w:r>
              <w:rPr>
                <w:rFonts w:ascii="Courier New" w:hAnsi="Courier New" w:eastAsia="Courier New"/>
                <w:sz w:val="14"/>
              </w:rPr>
              <w:t xml:space="preserve">  ENTITY_REFERENCE_TYPES ||--o{ WORKFLOW_INSTANCES : valida_tipo</w:t>
              <w:br/>
            </w:r>
            <w:r>
              <w:rPr>
                <w:rFonts w:ascii="Courier New" w:hAnsi="Courier New" w:eastAsia="Courier New"/>
                <w:sz w:val="14"/>
              </w:rPr>
              <w:t xml:space="preserve">  NOTIFICATIONS ||--o{ NOTIFICATION_RECIPIENTS : destinatarios</w:t>
              <w:br/>
            </w:r>
          </w:p>
        </w:tc>
      </w:tr>
    </w:tbl>
    <w:p/>
    <w:p>
      <w:pPr>
        <w:pStyle w:val="Heading3"/>
      </w:pPr>
      <w:r>
        <w:t>Inspecciones</w:t>
      </w:r>
    </w:p>
    <w:tbl>
      <w:tblPr>
        <w:tblStyle w:val="TableGrid"/>
        <w:tblW w:type="auto" w:w="0"/>
        <w:tblLook w:firstColumn="1" w:firstRow="1" w:lastColumn="0" w:lastRow="0" w:noHBand="0" w:noVBand="1" w:val="04A0"/>
      </w:tblPr>
      <w:tblGrid>
        <w:gridCol w:w="10656"/>
      </w:tblGrid>
      <w:tr>
        <w:tc>
          <w:tcPr>
            <w:tcW w:type="dxa" w:w="10656"/>
            <w:shd w:fill="F2F2F2"/>
          </w:tcPr>
          <w:p>
            <w:pPr>
              <w:spacing w:after="0"/>
            </w:pPr>
            <w:r/>
            <w:r>
              <w:rPr>
                <w:rFonts w:ascii="Courier New" w:hAnsi="Courier New" w:eastAsia="Courier New"/>
                <w:sz w:val="14"/>
              </w:rPr>
              <w:t>erDiagram</w:t>
              <w:br/>
            </w:r>
            <w:r>
              <w:rPr>
                <w:rFonts w:ascii="Courier New" w:hAnsi="Courier New" w:eastAsia="Courier New"/>
                <w:sz w:val="14"/>
              </w:rPr>
              <w:t xml:space="preserve">  INSPECTION_CHECKLIST_TEMPLATES ||--o{ INSPECTION_CHECKLIST_SECTIONS : agrupa</w:t>
              <w:br/>
            </w:r>
            <w:r>
              <w:rPr>
                <w:rFonts w:ascii="Courier New" w:hAnsi="Courier New" w:eastAsia="Courier New"/>
                <w:sz w:val="14"/>
              </w:rPr>
              <w:t xml:space="preserve">  INSPECTION_CHECKLIST_SECTIONS ||--o{ INSPECTION_CHECKLIST_ITEMS : contiene</w:t>
              <w:br/>
            </w:r>
            <w:r>
              <w:rPr>
                <w:rFonts w:ascii="Courier New" w:hAnsi="Courier New" w:eastAsia="Courier New"/>
                <w:sz w:val="14"/>
              </w:rPr>
              <w:t xml:space="preserve">  INSPECTIONS ||--o{ INSPECTION_CHECKLIST_ANSWERS : responde</w:t>
              <w:br/>
            </w:r>
            <w:r>
              <w:rPr>
                <w:rFonts w:ascii="Courier New" w:hAnsi="Courier New" w:eastAsia="Courier New"/>
                <w:sz w:val="14"/>
              </w:rPr>
              <w:t xml:space="preserve">  INSPECTION_CHECKLIST_ITEMS ||--o{ INSPECTION_CHECKLIST_ANSWERS : verifica</w:t>
              <w:br/>
            </w:r>
            <w:r>
              <w:rPr>
                <w:rFonts w:ascii="Courier New" w:hAnsi="Courier New" w:eastAsia="Courier New"/>
                <w:sz w:val="14"/>
              </w:rPr>
              <w:t xml:space="preserve">  INSPECTIONS ||--o{ INSPECTION_FINDINGS : genera</w:t>
              <w:br/>
            </w:r>
            <w:r>
              <w:rPr>
                <w:rFonts w:ascii="Courier New" w:hAnsi="Courier New" w:eastAsia="Courier New"/>
                <w:sz w:val="14"/>
              </w:rPr>
              <w:t xml:space="preserve">  INSPECTION_FINDINGS ||--o{ INSPECTION_FOLLOWUPS : seguimiento</w:t>
              <w:br/>
            </w:r>
            <w:r>
              <w:rPr>
                <w:rFonts w:ascii="Courier New" w:hAnsi="Courier New" w:eastAsia="Courier New"/>
                <w:sz w:val="14"/>
              </w:rPr>
              <w:t xml:space="preserve">  INSPECTIONS ||--o{ INSPECTION_STATUS_HISTORY : historial</w:t>
              <w:br/>
            </w:r>
            <w:r>
              <w:rPr>
                <w:rFonts w:ascii="Courier New" w:hAnsi="Courier New" w:eastAsia="Courier New"/>
                <w:sz w:val="14"/>
              </w:rPr>
              <w:t xml:space="preserve">  INSPECTIONS ||--o{ INSPECTION_EXPORTS : exporta</w:t>
              <w:br/>
            </w:r>
          </w:p>
        </w:tc>
      </w:tr>
    </w:tbl>
    <w:p/>
    <w:p>
      <w:pPr>
        <w:pStyle w:val="Heading3"/>
      </w:pPr>
      <w:r>
        <w:t>Incidentes</w:t>
      </w:r>
    </w:p>
    <w:tbl>
      <w:tblPr>
        <w:tblStyle w:val="TableGrid"/>
        <w:tblW w:type="auto" w:w="0"/>
        <w:tblLook w:firstColumn="1" w:firstRow="1" w:lastColumn="0" w:lastRow="0" w:noHBand="0" w:noVBand="1" w:val="04A0"/>
      </w:tblPr>
      <w:tblGrid>
        <w:gridCol w:w="10656"/>
      </w:tblGrid>
      <w:tr>
        <w:tc>
          <w:tcPr>
            <w:tcW w:type="dxa" w:w="10656"/>
            <w:shd w:fill="F2F2F2"/>
          </w:tcPr>
          <w:p>
            <w:pPr>
              <w:spacing w:after="0"/>
            </w:pPr>
            <w:r/>
            <w:r>
              <w:rPr>
                <w:rFonts w:ascii="Courier New" w:hAnsi="Courier New" w:eastAsia="Courier New"/>
                <w:sz w:val="14"/>
              </w:rPr>
              <w:t>erDiagram</w:t>
              <w:br/>
            </w:r>
            <w:r>
              <w:rPr>
                <w:rFonts w:ascii="Courier New" w:hAnsi="Courier New" w:eastAsia="Courier New"/>
                <w:sz w:val="14"/>
              </w:rPr>
              <w:t xml:space="preserve">  INCIDENT_TYPES ||--o{ INCIDENTS : clasifica</w:t>
              <w:br/>
            </w:r>
            <w:r>
              <w:rPr>
                <w:rFonts w:ascii="Courier New" w:hAnsi="Courier New" w:eastAsia="Courier New"/>
                <w:sz w:val="14"/>
              </w:rPr>
              <w:t xml:space="preserve">  INCIDENT_LEVEL_RULES ||--o{ INCIDENTS : determina_sla</w:t>
              <w:br/>
            </w:r>
            <w:r>
              <w:rPr>
                <w:rFonts w:ascii="Courier New" w:hAnsi="Courier New" w:eastAsia="Courier New"/>
                <w:sz w:val="14"/>
              </w:rPr>
              <w:t xml:space="preserve">  INCIDENTS ||--o{ INCIDENT_INVOLVED_PEOPLE : involucra</w:t>
              <w:br/>
            </w:r>
            <w:r>
              <w:rPr>
                <w:rFonts w:ascii="Courier New" w:hAnsi="Courier New" w:eastAsia="Courier New"/>
                <w:sz w:val="14"/>
              </w:rPr>
              <w:t xml:space="preserve">  INCIDENTS ||--o{ INCIDENT_IMMEDIATE_ACTIONS : mitiga</w:t>
              <w:br/>
            </w:r>
            <w:r>
              <w:rPr>
                <w:rFonts w:ascii="Courier New" w:hAnsi="Courier New" w:eastAsia="Courier New"/>
                <w:sz w:val="14"/>
              </w:rPr>
              <w:t xml:space="preserve">  INCIDENTS ||--|| INCIDENT_FLASH_REPORTS : genera</w:t>
              <w:br/>
            </w:r>
            <w:r>
              <w:rPr>
                <w:rFonts w:ascii="Courier New" w:hAnsi="Courier New" w:eastAsia="Courier New"/>
                <w:sz w:val="14"/>
              </w:rPr>
              <w:t xml:space="preserve">  INCIDENTS ||--o{ INCIDENT_INVESTIGATIONS : investiga</w:t>
              <w:br/>
            </w:r>
            <w:r>
              <w:rPr>
                <w:rFonts w:ascii="Courier New" w:hAnsi="Courier New" w:eastAsia="Courier New"/>
                <w:sz w:val="14"/>
              </w:rPr>
              <w:t xml:space="preserve">  INCIDENT_INVESTIGATIONS ||--o{ INCIDENT_TIMELINE_EVENTS : reconstruye</w:t>
              <w:br/>
            </w:r>
            <w:r>
              <w:rPr>
                <w:rFonts w:ascii="Courier New" w:hAnsi="Courier New" w:eastAsia="Courier New"/>
                <w:sz w:val="14"/>
              </w:rPr>
              <w:t xml:space="preserve">  INCIDENT_INVESTIGATIONS ||--o{ INCIDENT_FIVE_WHY_ITEMS : analiza</w:t>
              <w:br/>
            </w:r>
            <w:r>
              <w:rPr>
                <w:rFonts w:ascii="Courier New" w:hAnsi="Courier New" w:eastAsia="Courier New"/>
                <w:sz w:val="14"/>
              </w:rPr>
              <w:t xml:space="preserve">  INCIDENTS ||--o{ INCIDENT_ACTION_PLANS : corrige</w:t>
              <w:br/>
            </w:r>
          </w:p>
        </w:tc>
      </w:tr>
    </w:tbl>
    <w:p/>
    <w:p>
      <w:pPr>
        <w:pStyle w:val="Heading3"/>
      </w:pPr>
      <w:r>
        <w:t>SPR</w:t>
      </w:r>
    </w:p>
    <w:tbl>
      <w:tblPr>
        <w:tblStyle w:val="TableGrid"/>
        <w:tblW w:type="auto" w:w="0"/>
        <w:tblLook w:firstColumn="1" w:firstRow="1" w:lastColumn="0" w:lastRow="0" w:noHBand="0" w:noVBand="1" w:val="04A0"/>
      </w:tblPr>
      <w:tblGrid>
        <w:gridCol w:w="10656"/>
      </w:tblGrid>
      <w:tr>
        <w:tc>
          <w:tcPr>
            <w:tcW w:type="dxa" w:w="10656"/>
            <w:shd w:fill="F2F2F2"/>
          </w:tcPr>
          <w:p>
            <w:pPr>
              <w:spacing w:after="0"/>
            </w:pPr>
            <w:r/>
            <w:r>
              <w:rPr>
                <w:rFonts w:ascii="Courier New" w:hAnsi="Courier New" w:eastAsia="Courier New"/>
                <w:sz w:val="14"/>
              </w:rPr>
              <w:t>erDiagram</w:t>
              <w:br/>
            </w:r>
            <w:r>
              <w:rPr>
                <w:rFonts w:ascii="Courier New" w:hAnsi="Courier New" w:eastAsia="Courier New"/>
                <w:sz w:val="14"/>
              </w:rPr>
              <w:t xml:space="preserve">  SPR_MEASURE_GROUPS ||--o{ SPR_PARAMETERS : agrupa</w:t>
              <w:br/>
            </w:r>
            <w:r>
              <w:rPr>
                <w:rFonts w:ascii="Courier New" w:hAnsi="Courier New" w:eastAsia="Courier New"/>
                <w:sz w:val="14"/>
              </w:rPr>
              <w:t xml:space="preserve">  MEASUREMENT_UNITS ||--o{ SPR_PARAMETERS : unidad</w:t>
              <w:br/>
            </w:r>
            <w:r>
              <w:rPr>
                <w:rFonts w:ascii="Courier New" w:hAnsi="Courier New" w:eastAsia="Courier New"/>
                <w:sz w:val="14"/>
              </w:rPr>
              <w:t xml:space="preserve">  SPR_PARAMETERS ||--o{ SPR_PARAMETER_AREA_ASSIGNMENTS : asigna</w:t>
              <w:br/>
            </w:r>
            <w:r>
              <w:rPr>
                <w:rFonts w:ascii="Courier New" w:hAnsi="Courier New" w:eastAsia="Courier New"/>
                <w:sz w:val="14"/>
              </w:rPr>
              <w:t xml:space="preserve">  AREAS ||--o{ SPR_PARAMETER_AREA_ASSIGNMENTS : reporta</w:t>
              <w:br/>
            </w:r>
            <w:r>
              <w:rPr>
                <w:rFonts w:ascii="Courier New" w:hAnsi="Courier New" w:eastAsia="Courier New"/>
                <w:sz w:val="14"/>
              </w:rPr>
              <w:t xml:space="preserve">  SPR_PARAMETERS ||--o{ SPR_MONTHLY_RECORDS : registra_valor</w:t>
              <w:br/>
            </w:r>
            <w:r>
              <w:rPr>
                <w:rFonts w:ascii="Courier New" w:hAnsi="Courier New" w:eastAsia="Courier New"/>
                <w:sz w:val="14"/>
              </w:rPr>
              <w:t xml:space="preserve">  SPR_MONTHLY_RECORDS ||--o{ EVIDENCE_LINKS : respalda</w:t>
              <w:br/>
            </w:r>
            <w:r>
              <w:rPr>
                <w:rFonts w:ascii="Courier New" w:hAnsi="Courier New" w:eastAsia="Courier New"/>
                <w:sz w:val="14"/>
              </w:rPr>
              <w:t xml:space="preserve">  SPR_MONTHLY_RECORDS ||--o{ AUDIT_LOGS : traza</w:t>
              <w:br/>
            </w:r>
            <w:r>
              <w:rPr>
                <w:rFonts w:ascii="Courier New" w:hAnsi="Courier New" w:eastAsia="Courier New"/>
                <w:sz w:val="14"/>
              </w:rPr>
              <w:t xml:space="preserve">  SPR_PARAMETERS ||--o{ SPR_CONSOLIDATION_RULES : calcula</w:t>
              <w:br/>
            </w:r>
          </w:p>
        </w:tc>
      </w:tr>
    </w:tbl>
    <w:p/>
    <w:p>
      <w:pPr>
        <w:pStyle w:val="Heading2"/>
      </w:pPr>
      <w:r>
        <w:t>14.3 Checklist operativo para cada solicitud a IA</w:t>
      </w:r>
    </w:p>
    <w:p>
      <w:pPr>
        <w:pStyle w:val="ListBullet"/>
        <w:spacing w:after="20"/>
      </w:pPr>
      <w:r>
        <w:rPr>
          <w:sz w:val="18"/>
        </w:rPr>
        <w:t>¿La solicitud declara app, módulo y tipo de cambio?</w:t>
      </w:r>
    </w:p>
    <w:p>
      <w:pPr>
        <w:pStyle w:val="ListBullet"/>
        <w:spacing w:after="20"/>
      </w:pPr>
      <w:r>
        <w:rPr>
          <w:sz w:val="18"/>
        </w:rPr>
        <w:t>¿Incluye los .md obligatorios según la matriz?</w:t>
      </w:r>
    </w:p>
    <w:p>
      <w:pPr>
        <w:pStyle w:val="ListBullet"/>
        <w:spacing w:after="20"/>
      </w:pPr>
      <w:r>
        <w:rPr>
          <w:sz w:val="18"/>
        </w:rPr>
        <w:t>¿Define archivos permitidos y archivos que no deben tocarse?</w:t>
      </w:r>
    </w:p>
    <w:p>
      <w:pPr>
        <w:pStyle w:val="ListBullet"/>
        <w:spacing w:after="20"/>
      </w:pPr>
      <w:r>
        <w:rPr>
          <w:sz w:val="18"/>
        </w:rPr>
        <w:t>¿Indica si puede modificar @aurelia/contracts?</w:t>
      </w:r>
    </w:p>
    <w:p>
      <w:pPr>
        <w:pStyle w:val="ListBullet"/>
        <w:spacing w:after="20"/>
      </w:pPr>
      <w:r>
        <w:rPr>
          <w:sz w:val="18"/>
        </w:rPr>
        <w:t>¿Exige plan antes de escribir cuando toca arquitectura, entidades, contratos o migraciones?</w:t>
      </w:r>
    </w:p>
    <w:p>
      <w:pPr>
        <w:pStyle w:val="ListBullet"/>
        <w:spacing w:after="20"/>
      </w:pPr>
      <w:r>
        <w:rPr>
          <w:sz w:val="18"/>
        </w:rPr>
        <w:t>¿Incluye restricciones: no TypeORM en frontend/mobile, no fetch directo, no layouts absolutos, no duplicar enums?</w:t>
      </w:r>
    </w:p>
    <w:p>
      <w:pPr>
        <w:pStyle w:val="ListBullet"/>
        <w:spacing w:after="20"/>
      </w:pPr>
      <w:r>
        <w:rPr>
          <w:sz w:val="18"/>
        </w:rPr>
        <w:t>¿Pide comandos de validación y resultado?</w:t>
      </w:r>
    </w:p>
    <w:p>
      <w:pPr>
        <w:pStyle w:val="ListBullet"/>
        <w:spacing w:after="20"/>
      </w:pPr>
      <w:r>
        <w:rPr>
          <w:sz w:val="18"/>
        </w:rPr>
        <w:t>¿Pide resumen de riesgos y pendientes?</w:t>
      </w:r>
    </w:p>
    <w:p>
      <w:pPr>
        <w:pStyle w:val="ListBullet"/>
        <w:spacing w:after="20"/>
      </w:pPr>
      <w:r>
        <w:rPr>
          <w:sz w:val="18"/>
        </w:rPr>
        <w:t>¿Incluye Definition of Done aplicable?</w:t>
      </w:r>
    </w:p>
    <w:sectPr w:rsidR="00FC693F" w:rsidRPr="0006063C" w:rsidSect="00034616">
      <w:footerReference w:type="default" r:id="rId18"/>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AurelIA - Gold Fields II | EDT para ERS | Documento de trabajo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3660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