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8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061"/>
        <w:gridCol w:w="4819"/>
      </w:tblGrid>
      <w:tr>
        <w:trPr/>
        <w:tc>
          <w:tcPr>
            <w:tcW w:w="6061" w:type="dxa"/>
            <w:tcBorders/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caps/>
                <w:sz w:val="22"/>
              </w:rPr>
              <w:t>Утверждаю:</w:t>
            </w:r>
          </w:p>
        </w:tc>
      </w:tr>
      <w:tr>
        <w:trPr>
          <w:trHeight w:val="280" w:hRule="atLeast"/>
        </w:trPr>
        <w:tc>
          <w:tcPr>
            <w:tcW w:w="6061" w:type="dxa"/>
            <w:tcBorders/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"/>
              <w:jc w:val="both"/>
              <w:rPr>
                <w:caps/>
                <w:sz w:val="22"/>
              </w:rPr>
            </w:pPr>
            <w:r>
              <w:rPr>
                <w:sz w:val="22"/>
              </w:rPr>
              <w:t xml:space="preserve">Проректор Нижегородского университета </w:t>
            </w:r>
          </w:p>
        </w:tc>
      </w:tr>
      <w:tr>
        <w:trPr>
          <w:trHeight w:val="200" w:hRule="atLeast"/>
        </w:trPr>
        <w:tc>
          <w:tcPr>
            <w:tcW w:w="6061" w:type="dxa"/>
            <w:tcBorders/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"/>
              <w:jc w:val="center"/>
              <w:rPr>
                <w:caps/>
                <w:sz w:val="22"/>
              </w:rPr>
            </w:pPr>
            <w:r>
              <w:rPr>
                <w:sz w:val="22"/>
              </w:rPr>
              <w:t>по научной работе</w:t>
            </w:r>
          </w:p>
        </w:tc>
      </w:tr>
      <w:tr>
        <w:trPr>
          <w:trHeight w:val="240" w:hRule="atLeast"/>
        </w:trPr>
        <w:tc>
          <w:tcPr>
            <w:tcW w:w="6061" w:type="dxa"/>
            <w:tcBorders/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19" w:type="dxa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                         </w:t>
            </w:r>
            <w:bookmarkStart w:id="0" w:name="_GoBack"/>
            <w:bookmarkEnd w:id="0"/>
            <w:r>
              <w:rPr>
                <w:sz w:val="22"/>
                <w:lang w:val="en-US"/>
              </w:rPr>
              <w:t>В</w:t>
            </w:r>
            <w:r>
              <w:rPr>
                <w:sz w:val="22"/>
              </w:rPr>
              <w:t xml:space="preserve">.Б. Казанцев </w:t>
            </w:r>
          </w:p>
        </w:tc>
      </w:tr>
      <w:tr>
        <w:trPr>
          <w:trHeight w:val="200" w:hRule="atLeast"/>
        </w:trPr>
        <w:tc>
          <w:tcPr>
            <w:tcW w:w="6061" w:type="dxa"/>
            <w:tcBorders/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"/>
              <w:jc w:val="center"/>
              <w:rPr>
                <w:caps/>
                <w:sz w:val="22"/>
              </w:rPr>
            </w:pPr>
            <w:r>
              <w:rPr>
                <w:caps/>
                <w:sz w:val="22"/>
              </w:rPr>
            </w:r>
          </w:p>
        </w:tc>
      </w:tr>
      <w:tr>
        <w:trPr>
          <w:trHeight w:val="400" w:hRule="atLeast"/>
        </w:trPr>
        <w:tc>
          <w:tcPr>
            <w:tcW w:w="6061" w:type="dxa"/>
            <w:tcBorders/>
            <w:shd w:fill="auto" w:val="clear"/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>____” __________ 201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г.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ЭКСПЕРТНОЕ ЗАКЛЮЧЕНИЕ О ВОЗМОЖНОСТИ ОПУБЛИКОВАНИЯ</w:t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tbl>
      <w:tblPr>
        <w:tblW w:w="1077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76"/>
        <w:gridCol w:w="991"/>
        <w:gridCol w:w="427"/>
        <w:gridCol w:w="2409"/>
        <w:gridCol w:w="709"/>
        <w:gridCol w:w="4960"/>
      </w:tblGrid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right="0" w:firstLine="284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Экспертная комиссия: (руководитель-эксперт) </w:t>
            </w:r>
            <w:r>
              <w:rPr>
                <w:b/>
                <w:sz w:val="24"/>
              </w:rPr>
              <w:t xml:space="preserve">Гергель В.П., </w:t>
            </w:r>
            <w:r>
              <w:rPr>
                <w:sz w:val="24"/>
              </w:rPr>
              <w:t>(эксперт)</w:t>
            </w:r>
            <w:r>
              <w:rPr>
                <w:b/>
                <w:sz w:val="24"/>
              </w:rPr>
              <w:t xml:space="preserve"> Баландин Д.В.</w:t>
            </w:r>
          </w:p>
        </w:tc>
      </w:tr>
      <w:tr>
        <w:trPr/>
        <w:tc>
          <w:tcPr>
            <w:tcW w:w="5103" w:type="dxa"/>
            <w:gridSpan w:val="4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5669" w:type="dxa"/>
            <w:gridSpan w:val="2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>
              <w:bottom w:val="single" w:sz="6" w:space="0" w:color="00000A"/>
              <w:insideH w:val="single" w:sz="6" w:space="0" w:color="00000A"/>
            </w:tcBorders>
            <w:shd w:fill="auto" w:val="clear"/>
          </w:tcPr>
          <w:p>
            <w:pPr>
              <w:pStyle w:val="Heading1"/>
              <w:rPr/>
            </w:pPr>
            <w:r>
              <w:rPr/>
              <w:t>Нижегородский государственный университет им. Н.И. Лобачевского</w:t>
            </w:r>
          </w:p>
        </w:tc>
      </w:tr>
      <w:tr>
        <w:trPr>
          <w:trHeight w:val="200" w:hRule="atLeast"/>
        </w:trPr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  <w:t>(организация с указанием ведомственной принадлежности)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Heading4"/>
              <w:rPr/>
            </w:pPr>
            <w:r>
              <w:rPr/>
              <w:t xml:space="preserve"> </w:t>
            </w:r>
            <w:r>
              <w:rPr/>
              <w:t>Рассмотрев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статью</w:t>
            </w:r>
            <w:r>
              <w:rPr>
                <w:lang w:val="en-US"/>
              </w:rPr>
              <w:t xml:space="preserve"> «</w:t>
            </w:r>
            <w:r>
              <w:rPr>
                <w:lang w:val="en-US"/>
              </w:rPr>
              <w:t>Вероятностная модель тандема управляющих систем обслуживания по циклическому алгоритму с продлением</w:t>
            </w:r>
            <w:r>
              <w:rPr>
                <w:lang w:val="en-US"/>
              </w:rPr>
              <w:t>»</w:t>
            </w:r>
          </w:p>
        </w:tc>
      </w:tr>
      <w:tr>
        <w:trPr>
          <w:trHeight w:val="200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Normal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9496" w:type="dxa"/>
            <w:gridSpan w:val="5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/>
              <w:t>(вид, название материала, Ф.,И.,О. автора)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>
                <w:iCs/>
                <w:sz w:val="24"/>
              </w:rPr>
            </w:pPr>
            <w:r>
              <w:rPr>
                <w:b/>
                <w:i/>
                <w:sz w:val="24"/>
              </w:rPr>
              <w:t>Кочеганова В.М., Зорина А.В.</w:t>
            </w:r>
          </w:p>
        </w:tc>
      </w:tr>
      <w:tr>
        <w:trPr/>
        <w:tc>
          <w:tcPr>
            <w:tcW w:w="10772" w:type="dxa"/>
            <w:gridSpan w:val="6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в соответствии с Законом РФ “О средствах массовой информации”, “О государственной тайне”,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sz w:val="24"/>
              </w:rPr>
              <w:t xml:space="preserve">Об информации, информатизации и защите информации”, постановлением Правительства РФ от 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sz w:val="24"/>
              </w:rPr>
              <w:t>03.11.94 № 1233, “Положения-88” и “Положения ННГУ-97” подтверждает, что в материале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left="0" w:hanging="0"/>
              <w:jc w:val="center"/>
              <w:rPr>
                <w:b/>
                <w:b/>
                <w:i/>
                <w:i/>
                <w:sz w:val="24"/>
              </w:rPr>
            </w:pPr>
            <w:r>
              <w:rPr>
                <w:b/>
                <w:i/>
                <w:sz w:val="24"/>
              </w:rPr>
              <w:t>не содержатся сведения, запрещенные к опубликованию</w:t>
            </w:r>
          </w:p>
        </w:tc>
      </w:tr>
      <w:tr>
        <w:trPr>
          <w:cantSplit w:val="true"/>
        </w:trPr>
        <w:tc>
          <w:tcPr>
            <w:tcW w:w="10772" w:type="dxa"/>
            <w:gridSpan w:val="6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(указать, содержаться или нет сведения, запрещенные к опубликованию)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left="0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На публикацию материала </w:t>
            </w:r>
            <w:r>
              <w:rPr>
                <w:b/>
                <w:i/>
                <w:sz w:val="24"/>
              </w:rPr>
              <w:t>не следует</w:t>
            </w:r>
            <w:r>
              <w:rPr>
                <w:sz w:val="24"/>
              </w:rPr>
              <w:t xml:space="preserve"> </w:t>
            </w:r>
          </w:p>
        </w:tc>
      </w:tr>
      <w:tr>
        <w:trPr/>
        <w:tc>
          <w:tcPr>
            <w:tcW w:w="2694" w:type="dxa"/>
            <w:gridSpan w:val="3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078" w:type="dxa"/>
            <w:gridSpan w:val="3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/>
              <w:t>(следует или нет)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left="0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Получить разрешение  министерства, ведомства или другой организации</w:t>
            </w:r>
          </w:p>
        </w:tc>
      </w:tr>
      <w:tr>
        <w:trPr/>
        <w:tc>
          <w:tcPr>
            <w:tcW w:w="2267" w:type="dxa"/>
            <w:gridSpan w:val="2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8505" w:type="dxa"/>
            <w:gridSpan w:val="4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/>
              <w:t>(министерства, ведомства или другой организации)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ind w:lef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left="0" w:hanging="0"/>
              <w:rPr>
                <w:b/>
                <w:b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>Заключение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 настоящие материалы могут быть опубликованы в открытой печати</w:t>
            </w:r>
          </w:p>
        </w:tc>
      </w:tr>
      <w:tr>
        <w:trPr/>
        <w:tc>
          <w:tcPr>
            <w:tcW w:w="1276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9496" w:type="dxa"/>
            <w:gridSpan w:val="5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left="0" w:hanging="0"/>
              <w:rPr>
                <w:b/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  <w:tr>
        <w:trPr/>
        <w:tc>
          <w:tcPr>
            <w:tcW w:w="10772" w:type="dxa"/>
            <w:gridSpan w:val="6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aps/>
                <w:sz w:val="24"/>
              </w:rPr>
              <w:t xml:space="preserve">  </w:t>
            </w:r>
            <w:r>
              <w:rPr>
                <w:sz w:val="24"/>
              </w:rPr>
              <w:t>Председатель комиссии (аа</w:t>
            </w:r>
            <w:r>
              <w:rPr>
                <w:sz w:val="24"/>
              </w:rPr>
              <w:t xml:space="preserve">руководитель-эксперт): </w:t>
            </w:r>
          </w:p>
        </w:tc>
      </w:tr>
      <w:tr>
        <w:trPr/>
        <w:tc>
          <w:tcPr>
            <w:tcW w:w="5812" w:type="dxa"/>
            <w:gridSpan w:val="5"/>
            <w:tcBorders/>
            <w:shd w:fill="auto" w:val="clear"/>
          </w:tcPr>
          <w:p>
            <w:pPr>
              <w:pStyle w:val="Heading2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Профессор, директор ИИТММ</w:t>
            </w:r>
          </w:p>
        </w:tc>
        <w:tc>
          <w:tcPr>
            <w:tcW w:w="4960" w:type="dxa"/>
            <w:tcBorders/>
            <w:shd w:fill="auto" w:val="clear"/>
          </w:tcPr>
          <w:p>
            <w:pPr>
              <w:pStyle w:val="Heading1"/>
              <w:rPr/>
            </w:pPr>
            <w:r>
              <w:rPr/>
              <w:t xml:space="preserve">                                      </w:t>
            </w:r>
            <w:r>
              <w:rPr/>
              <w:t>В.П. Гергель</w:t>
            </w:r>
          </w:p>
        </w:tc>
      </w:tr>
      <w:tr>
        <w:trPr/>
        <w:tc>
          <w:tcPr>
            <w:tcW w:w="10772" w:type="dxa"/>
            <w:gridSpan w:val="6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/>
              <w:t>(должность, подпись, Ф.,И.,О.)</w:t>
            </w:r>
          </w:p>
        </w:tc>
      </w:tr>
      <w:tr>
        <w:trPr/>
        <w:tc>
          <w:tcPr>
            <w:tcW w:w="10772" w:type="dxa"/>
            <w:gridSpan w:val="6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Члены комиссии:</w:t>
            </w:r>
          </w:p>
        </w:tc>
      </w:tr>
      <w:tr>
        <w:trPr>
          <w:cantSplit w:val="true"/>
        </w:trPr>
        <w:tc>
          <w:tcPr>
            <w:tcW w:w="2267" w:type="dxa"/>
            <w:gridSpan w:val="2"/>
            <w:tcBorders/>
            <w:shd w:fill="auto" w:val="clear"/>
          </w:tcPr>
          <w:p>
            <w:pPr>
              <w:pStyle w:val="Heading3"/>
              <w:jc w:val="left"/>
              <w:rPr/>
            </w:pPr>
            <w:r>
              <w:rPr/>
              <w:t>Профессор</w:t>
            </w:r>
          </w:p>
        </w:tc>
        <w:tc>
          <w:tcPr>
            <w:tcW w:w="8505" w:type="dxa"/>
            <w:gridSpan w:val="4"/>
            <w:tcBorders/>
            <w:shd w:fill="auto" w:val="clear"/>
          </w:tcPr>
          <w:p>
            <w:pPr>
              <w:pStyle w:val="Heading1"/>
              <w:rPr/>
            </w:pPr>
            <w:r>
              <w:rPr/>
              <w:t xml:space="preserve">                                                                                            </w:t>
            </w:r>
            <w:r>
              <w:rPr/>
              <w:t>Д.В. Баландин</w:t>
            </w:r>
          </w:p>
        </w:tc>
      </w:tr>
      <w:tr>
        <w:trPr/>
        <w:tc>
          <w:tcPr>
            <w:tcW w:w="10772" w:type="dxa"/>
            <w:gridSpan w:val="6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/>
              <w:t>(должность, подпись, Ф.,И.,О.)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extBody"/>
        <w:ind w:firstLine="284"/>
        <w:rPr/>
      </w:pPr>
      <w:r>
        <w:rPr/>
        <w:t>Сведений, раскрывающих сущность исследований, которые могут составить предмет изобретения или открытия в материале, представленном к открытому опубликованию не использовал(и)</w:t>
      </w:r>
    </w:p>
    <w:tbl>
      <w:tblPr>
        <w:tblW w:w="10989" w:type="dxa"/>
        <w:jc w:val="left"/>
        <w:tblInd w:w="0" w:type="dxa"/>
        <w:tblBorders>
          <w:top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989"/>
      </w:tblGrid>
      <w:tr>
        <w:trPr/>
        <w:tc>
          <w:tcPr>
            <w:tcW w:w="10989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Heading2"/>
              <w:tabs>
                <w:tab w:val="left" w:pos="6521" w:leader="none"/>
              </w:tabs>
              <w:rPr/>
            </w:pPr>
            <w:r>
              <w:rPr>
                <w:bCs/>
                <w:caps w:val="false"/>
                <w:smallCaps w:val="false"/>
                <w:sz w:val="22"/>
              </w:rPr>
              <w:t>Аспирант, Кочеганов Виктор Михайлович</w:t>
            </w:r>
          </w:p>
        </w:tc>
      </w:tr>
      <w:tr>
        <w:trPr/>
        <w:tc>
          <w:tcPr>
            <w:tcW w:w="10989" w:type="dxa"/>
            <w:tcBorders/>
            <w:shd w:fill="auto" w:val="clear"/>
          </w:tcPr>
          <w:p>
            <w:pPr>
              <w:pStyle w:val="Heading2"/>
              <w:tabs>
                <w:tab w:val="left" w:pos="6521" w:leader="none"/>
              </w:tabs>
              <w:rPr/>
            </w:pPr>
            <w:r>
              <w:rPr>
                <w:bCs/>
                <w:caps w:val="false"/>
                <w:smallCaps w:val="false"/>
                <w:sz w:val="22"/>
              </w:rPr>
              <w:t>Доцент каф. МОСТ, Зорин Андрей Владимирович</w:t>
            </w:r>
          </w:p>
        </w:tc>
      </w:tr>
      <w:tr>
        <w:trPr/>
        <w:tc>
          <w:tcPr>
            <w:tcW w:w="10989" w:type="dxa"/>
            <w:tcBorders>
              <w:top w:val="single" w:sz="6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(должность, подпись, Ф.,И.,О.)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ap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0" w:hanging="0"/>
      <w:outlineLvl w:val="3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Text Body"/>
    <w:basedOn w:val="Normal"/>
    <w:pPr>
      <w:jc w:val="both"/>
    </w:pPr>
    <w:rPr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ocumentMap1" w:customStyle="1">
    <w:name w:val="Document Map1"/>
    <w:basedOn w:val="Normal"/>
    <w:qFormat/>
    <w:pPr>
      <w:shd w:val="clear" w:color="auto" w:fill="000080"/>
    </w:pPr>
    <w:rPr>
      <w:rFonts w:ascii="Tahoma" w:hAnsi="Tahom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LibreOffice/5.0.5.2$Linux_x86 LibreOffice_project/00m0$Build-2</Application>
  <Paragraphs>35</Paragraphs>
  <Company>NNGU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2015-09-07T14:17:00Z</dcterms:created>
  <dc:creator>Кафедра Диф.уравнений и Мат.анализа</dc:creator>
  <dc:language>en-US</dc:language>
  <cp:lastPrinted>2015-09-08T12:07:00Z</cp:lastPrinted>
  <dcterms:modified xsi:type="dcterms:W3CDTF">2016-04-17T09:12:47Z</dcterms:modified>
  <cp:revision>8</cp:revision>
  <dc:title>УТВЕРЖДАЮ: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NNGU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