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5.jpg" ContentType="image/jpeg"/>
  <Override PartName="/word/media/rId39.jpg" ContentType="image/jpeg"/>
  <Override PartName="/word/media/rId31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строить модель конкуренции двух фирм.</w:t>
      </w:r>
    </w:p>
    <w:p>
      <w:pPr>
        <w:numPr>
          <w:ilvl w:val="0"/>
          <w:numId w:val="1001"/>
        </w:numPr>
        <w:pStyle w:val="Compact"/>
      </w:pPr>
      <w:r>
        <w:t xml:space="preserve">Выполнить лабораторную работу №8 согласно своему варианту(34) и сделать по ней отчет.</w:t>
      </w:r>
    </w:p>
    <w:bookmarkEnd w:id="20"/>
    <w:bookmarkStart w:id="21" w:name="задание.-вариант-34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Задание. Вариант 34</w:t>
      </w:r>
    </w:p>
    <w:p>
      <w:pPr>
        <w:pStyle w:val="FirstParagraph"/>
      </w:pPr>
      <w: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M1 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3.6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32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33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10.5</m:t>
          </m:r>
        </m:oMath>
      </m:oMathPara>
    </w:p>
    <w:p>
      <w:pPr>
        <w:pStyle w:val="FirstParagraph"/>
      </w:pPr>
      <w:r>
        <w:t xml:space="preserve">Замечание: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– рыночная цена товара</w:t>
      </w:r>
      <w:r>
        <w:t xml:space="preserve"> </w:t>
      </w:r>
      <m:oMath>
        <m:r>
          <m:t>p</m:t>
        </m:r>
      </m:oMath>
      <w:r>
        <w:t xml:space="preserve">–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Общая постановка задачи: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собой.[2]</w:t>
      </w:r>
    </w:p>
    <w:p>
      <w:pPr>
        <w:pStyle w:val="BodyText"/>
      </w:pPr>
      <w:r>
        <w:t xml:space="preserve">Случай 1: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[1]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В данном случае рост оборотных средств предприятий идет независимо друг от друга. В математической модели этот факт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изменяется.[1]</w:t>
      </w:r>
    </w:p>
    <w:p>
      <w:pPr>
        <w:pStyle w:val="BodyText"/>
      </w:pPr>
      <w:r>
        <w:t xml:space="preserve">Случай 2:</w:t>
      </w:r>
    </w:p>
    <w:p>
      <w:pPr>
        <w:pStyle w:val="BodyText"/>
      </w:pPr>
      <w:r>
        <w:t xml:space="preserve">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В данном случае, одна из фирм, несмотря на начальный рост, достигнув своего максимального объема продаж, начитает нести убытки и, в итоге, терпит банкротство. А динамика роста объемов оборотных средств второй фирмы остается без изменения: достигнув максимального значения, остается на этом уровне.[1]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Случай 1.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r>
          <m:t>θ</m:t>
        </m:r>
        <m:r>
          <m:rPr>
            <m:sty m:val="p"/>
          </m:rPr>
          <m:t>*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- изменяется [0; 30] с шагом 0.01.</w:t>
      </w:r>
    </w:p>
    <w:p>
      <w:pPr>
        <w:pStyle w:val="BodyText"/>
      </w:pPr>
      <w:r>
        <w:t xml:space="preserve">Код программы: (fig. 1)(fig. 2)</w:t>
      </w:r>
    </w:p>
    <w:p>
      <w:pPr>
        <w:pStyle w:val="CaptionedFigure"/>
      </w:pPr>
      <w:bookmarkStart w:id="26" w:name="fig:001"/>
      <w:r>
        <w:drawing>
          <wp:inline>
            <wp:extent cx="5334000" cy="2290798"/>
            <wp:effectExtent b="0" l="0" r="0" t="0"/>
            <wp:docPr descr="Figure 1: Код программы для случая 1(часть 1)" title="" id="24" name="Picture"/>
            <a:graphic>
              <a:graphicData uri="http://schemas.openxmlformats.org/drawingml/2006/picture">
                <pic:pic>
                  <pic:nvPicPr>
                    <pic:cNvPr descr="lab8p/cf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 для случая 1(часть 1)</w:t>
      </w:r>
    </w:p>
    <w:p>
      <w:pPr>
        <w:pStyle w:val="CaptionedFigure"/>
      </w:pPr>
      <w:bookmarkStart w:id="30" w:name="fig:002"/>
      <w:r>
        <w:drawing>
          <wp:inline>
            <wp:extent cx="5334000" cy="1707057"/>
            <wp:effectExtent b="0" l="0" r="0" t="0"/>
            <wp:docPr descr="Figure 2: Код программы для случая 1(часть 2)" title="" id="28" name="Picture"/>
            <a:graphic>
              <a:graphicData uri="http://schemas.openxmlformats.org/drawingml/2006/picture">
                <pic:pic>
                  <pic:nvPicPr>
                    <pic:cNvPr descr="lab8p/cf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Код программы для случая 1(часть 2)</w:t>
      </w:r>
    </w:p>
    <w:p>
      <w:pPr>
        <w:pStyle w:val="BodyText"/>
      </w:pPr>
      <w:r>
        <w:t xml:space="preserve">График:(fig. 3)</w:t>
      </w:r>
    </w:p>
    <w:p>
      <w:pPr>
        <w:pStyle w:val="CaptionedFigure"/>
      </w:pPr>
      <w:bookmarkStart w:id="34" w:name="fig:003"/>
      <w:r>
        <w:drawing>
          <wp:inline>
            <wp:extent cx="5334000" cy="2599407"/>
            <wp:effectExtent b="0" l="0" r="0" t="0"/>
            <wp:docPr descr="Figure 3: График изменения оборотных средств фирмы 1 (M1) и фирмы 2 (M2) для случая 1. По оси ординат значения M_{1,2}, по оси абсцисс значения \theta=\frac{t}{c1}" title="" id="32" name="Picture"/>
            <a:graphic>
              <a:graphicData uri="http://schemas.openxmlformats.org/drawingml/2006/picture">
                <pic:pic>
                  <pic:nvPicPr>
                    <pic:cNvPr descr="lab8p/g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изменения оборотных средств фирмы 1 (M1) и фирмы 2 (M2) для случая 1. По оси ординат значения M_{1,2},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r>
              <m:t>c</m:t>
            </m:r>
            <m:r>
              <m:t>1</m:t>
            </m:r>
          </m:den>
        </m:f>
      </m:oMath>
    </w:p>
    <w:p>
      <w:pPr>
        <w:numPr>
          <w:ilvl w:val="0"/>
          <w:numId w:val="1004"/>
        </w:numPr>
        <w:pStyle w:val="Compact"/>
      </w:pPr>
      <w:r>
        <w:t xml:space="preserve">Случай 2.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Код программы: (fig. 4)(fig. 5)</w:t>
      </w:r>
    </w:p>
    <w:p>
      <w:pPr>
        <w:pStyle w:val="CaptionedFigure"/>
      </w:pPr>
      <w:bookmarkStart w:id="38" w:name="fig:004"/>
      <w:r>
        <w:drawing>
          <wp:inline>
            <wp:extent cx="5334000" cy="2284568"/>
            <wp:effectExtent b="0" l="0" r="0" t="0"/>
            <wp:docPr descr="Figure 4: Код программы для случая 2(часть 1)" title="" id="36" name="Picture"/>
            <a:graphic>
              <a:graphicData uri="http://schemas.openxmlformats.org/drawingml/2006/picture">
                <pic:pic>
                  <pic:nvPicPr>
                    <pic:cNvPr descr="lab8p/cs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Код программы для случая 2(часть 1)</w:t>
      </w:r>
    </w:p>
    <w:p>
      <w:pPr>
        <w:pStyle w:val="CaptionedFigure"/>
      </w:pPr>
      <w:bookmarkStart w:id="42" w:name="fig:005"/>
      <w:r>
        <w:drawing>
          <wp:inline>
            <wp:extent cx="5334000" cy="1443871"/>
            <wp:effectExtent b="0" l="0" r="0" t="0"/>
            <wp:docPr descr="Figure 5: Код программы для случая 2(часть 2)" title="" id="40" name="Picture"/>
            <a:graphic>
              <a:graphicData uri="http://schemas.openxmlformats.org/drawingml/2006/picture">
                <pic:pic>
                  <pic:nvPicPr>
                    <pic:cNvPr descr="lab8p/cs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Код программы для случая 2(часть 2)</w:t>
      </w:r>
    </w:p>
    <w:p>
      <w:pPr>
        <w:pStyle w:val="BodyText"/>
      </w:pPr>
      <w:r>
        <w:t xml:space="preserve">График:(fig. 6)</w:t>
      </w:r>
    </w:p>
    <w:p>
      <w:pPr>
        <w:pStyle w:val="CaptionedFigure"/>
      </w:pPr>
      <w:bookmarkStart w:id="46" w:name="fig:006"/>
      <w:r>
        <w:drawing>
          <wp:inline>
            <wp:extent cx="5334000" cy="2554908"/>
            <wp:effectExtent b="0" l="0" r="0" t="0"/>
            <wp:docPr descr="Figure 6: График изменения оборотных средств фирмы 1 (M1) и фирмы 2 (M2) для случая 2. По оси ординат значения M_{1,2}, по оси абсцисс значения \theta=\frac{t}{c1}" title="" id="44" name="Picture"/>
            <a:graphic>
              <a:graphicData uri="http://schemas.openxmlformats.org/drawingml/2006/picture">
                <pic:pic>
                  <pic:nvPicPr>
                    <pic:cNvPr descr="lab8p/g2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изменения оборотных средств фирмы 1 (M1) и фирмы 2 (M2) для случая 2. По оси ординат значения M_{1,2},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r>
              <m:t>c</m:t>
            </m:r>
            <m:r>
              <m:t>1</m:t>
            </m:r>
          </m:den>
        </m:f>
      </m:oMath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5"/>
        </w:numPr>
        <w:pStyle w:val="Compact"/>
      </w:pPr>
      <w:r>
        <w:t xml:space="preserve">Выполнила лабораторную работу №8.</w:t>
      </w:r>
    </w:p>
    <w:p>
      <w:pPr>
        <w:numPr>
          <w:ilvl w:val="0"/>
          <w:numId w:val="1005"/>
        </w:numPr>
        <w:pStyle w:val="Compact"/>
      </w:pPr>
      <w:r>
        <w:t xml:space="preserve">Познакомилась с написанием модели конкуренции двух фирм..</w:t>
      </w:r>
    </w:p>
    <w:p>
      <w:pPr>
        <w:numPr>
          <w:ilvl w:val="0"/>
          <w:numId w:val="1005"/>
        </w:numPr>
        <w:pStyle w:val="Compact"/>
      </w:pPr>
      <w:r>
        <w:t xml:space="preserve">Познакомилась с написанием математических моделей при использованиии openmodelica.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06"/>
        </w:numPr>
        <w:pStyle w:val="Compact"/>
      </w:pPr>
      <w:r>
        <w:t xml:space="preserve">https://natural-sciences.ru/ru/article/view?id=14730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31" Target="media/rId31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Кондрашина Мария Сергеевна</dc:creator>
  <dc:language>ru-RU</dc:language>
  <cp:keywords/>
  <dcterms:created xsi:type="dcterms:W3CDTF">2022-03-14T17:01:13Z</dcterms:created>
  <dcterms:modified xsi:type="dcterms:W3CDTF">2022-03-14T17:01:13Z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конкуренции двух фирм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