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25.png" ContentType="image/png"/>
  <Override PartName="/word/media/rId98.png" ContentType="image/png"/>
  <Override PartName="/word/media/rId94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29.png" ContentType="image/png"/>
  <Override PartName="/word/media/rId126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Кондрашина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Окно «Имя машины и тип ОС»</w:t>
      </w:r>
    </w:p>
    <w:p>
      <w:pPr>
        <w:pStyle w:val="CaptionedFigure"/>
      </w:pPr>
      <w:bookmarkStart w:id="24" w:name="fig:001"/>
      <w:r>
        <w:drawing>
          <wp:inline>
            <wp:extent cx="4169152" cy="3702360"/>
            <wp:effectExtent b="0" l="0" r="0" t="0"/>
            <wp:docPr descr="Figure 1: Окно «Имя машины и тип ОС»" title="" id="22" name="Picture"/>
            <a:graphic>
              <a:graphicData uri="http://schemas.openxmlformats.org/drawingml/2006/picture">
                <pic:pic>
                  <pic:nvPicPr>
                    <pic:cNvPr descr="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52" cy="370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Окно «Имя машины и тип ОС»</w:t>
      </w:r>
    </w:p>
    <w:p>
      <w:pPr>
        <w:numPr>
          <w:ilvl w:val="0"/>
          <w:numId w:val="1002"/>
        </w:numPr>
        <w:pStyle w:val="Compact"/>
      </w:pPr>
      <w:r>
        <w:t xml:space="preserve">Окно «Размер основной памяти»</w:t>
      </w:r>
    </w:p>
    <w:p>
      <w:pPr>
        <w:pStyle w:val="CaptionedFigure"/>
      </w:pPr>
      <w:bookmarkStart w:id="28" w:name="fig:002"/>
      <w:r>
        <w:drawing>
          <wp:inline>
            <wp:extent cx="4226702" cy="3651205"/>
            <wp:effectExtent b="0" l="0" r="0" t="0"/>
            <wp:docPr descr="Figure 2: Окно «Размер основной памяти»" title="" id="26" name="Picture"/>
            <a:graphic>
              <a:graphicData uri="http://schemas.openxmlformats.org/drawingml/2006/picture">
                <pic:pic>
                  <pic:nvPicPr>
                    <pic:cNvPr descr="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365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Окно «Размер основной памяти»</w:t>
      </w:r>
    </w:p>
    <w:p>
      <w:pPr>
        <w:numPr>
          <w:ilvl w:val="0"/>
          <w:numId w:val="1003"/>
        </w:numPr>
        <w:pStyle w:val="Compact"/>
      </w:pPr>
      <w:r>
        <w:t xml:space="preserve">Окно подключения или создания жёсткого диска на виртуальной машине</w:t>
      </w:r>
    </w:p>
    <w:p>
      <w:pPr>
        <w:pStyle w:val="CaptionedFigure"/>
      </w:pPr>
      <w:bookmarkStart w:id="32" w:name="fig:003"/>
      <w:r>
        <w:drawing>
          <wp:inline>
            <wp:extent cx="4207518" cy="3721544"/>
            <wp:effectExtent b="0" l="0" r="0" t="0"/>
            <wp:docPr descr="Figure 3: Окно подключения или создания жёсткого диска на виртуальной машине" title="" id="30" name="Picture"/>
            <a:graphic>
              <a:graphicData uri="http://schemas.openxmlformats.org/drawingml/2006/picture">
                <pic:pic>
                  <pic:nvPicPr>
                    <pic:cNvPr descr="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3721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Окно подключения или создания жёсткого диска на виртуальной машине</w:t>
      </w:r>
    </w:p>
    <w:p>
      <w:pPr>
        <w:numPr>
          <w:ilvl w:val="0"/>
          <w:numId w:val="1004"/>
        </w:numPr>
        <w:pStyle w:val="Compact"/>
      </w:pPr>
      <w:r>
        <w:t xml:space="preserve">Окно определения типа подключения виртуального жёсткого диска</w:t>
      </w:r>
    </w:p>
    <w:p>
      <w:pPr>
        <w:pStyle w:val="CaptionedFigure"/>
      </w:pPr>
      <w:bookmarkStart w:id="36" w:name="fig:004"/>
      <w:r>
        <w:drawing>
          <wp:inline>
            <wp:extent cx="4687099" cy="4373773"/>
            <wp:effectExtent b="0" l="0" r="0" t="0"/>
            <wp:docPr descr="Figure 4: Окно определения типа подключения виртуального жёсткого диска" title="" id="34" name="Picture"/>
            <a:graphic>
              <a:graphicData uri="http://schemas.openxmlformats.org/drawingml/2006/picture">
                <pic:pic>
                  <pic:nvPicPr>
                    <pic:cNvPr descr="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99" cy="4373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Окно определения типа подключения виртуального жёсткого диска</w:t>
      </w:r>
    </w:p>
    <w:p>
      <w:pPr>
        <w:numPr>
          <w:ilvl w:val="0"/>
          <w:numId w:val="1005"/>
        </w:numPr>
        <w:pStyle w:val="Compact"/>
      </w:pPr>
      <w:r>
        <w:t xml:space="preserve">Окно определения формата виртуального жёсткого диска</w:t>
      </w:r>
    </w:p>
    <w:p>
      <w:pPr>
        <w:pStyle w:val="CaptionedFigure"/>
      </w:pPr>
      <w:bookmarkStart w:id="40" w:name="fig:005"/>
      <w:r>
        <w:drawing>
          <wp:inline>
            <wp:extent cx="4706282" cy="4380167"/>
            <wp:effectExtent b="0" l="0" r="0" t="0"/>
            <wp:docPr descr="Figure 5: Окно определения формата виртуального жёсткого диска" title="" id="38" name="Picture"/>
            <a:graphic>
              <a:graphicData uri="http://schemas.openxmlformats.org/drawingml/2006/picture">
                <pic:pic>
                  <pic:nvPicPr>
                    <pic:cNvPr descr="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82" cy="438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Окно определения формата виртуального жёсткого диска</w:t>
      </w:r>
    </w:p>
    <w:p>
      <w:pPr>
        <w:numPr>
          <w:ilvl w:val="0"/>
          <w:numId w:val="1006"/>
        </w:numPr>
        <w:pStyle w:val="Compact"/>
      </w:pPr>
      <w:r>
        <w:t xml:space="preserve">Окно определения размера виртуального динамического жёсткого</w:t>
      </w:r>
      <w:r>
        <w:t xml:space="preserve"> </w:t>
      </w:r>
      <w:r>
        <w:t xml:space="preserve">диска и его расположения</w:t>
      </w:r>
    </w:p>
    <w:p>
      <w:pPr>
        <w:pStyle w:val="CaptionedFigure"/>
      </w:pPr>
      <w:bookmarkStart w:id="44" w:name="fig:006"/>
      <w:r>
        <w:drawing>
          <wp:inline>
            <wp:extent cx="4667916" cy="4341801"/>
            <wp:effectExtent b="0" l="0" r="0" t="0"/>
            <wp:docPr descr="Figure 6: Окно определения размера виртуального динамического жёсткого диска и его расположения" title="" id="42" name="Picture"/>
            <a:graphic>
              <a:graphicData uri="http://schemas.openxmlformats.org/drawingml/2006/picture">
                <pic:pic>
                  <pic:nvPicPr>
                    <pic:cNvPr descr="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16" cy="4341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Окно определения размера виртуального динамического жёсткого диска и его расположения</w:t>
      </w:r>
    </w:p>
    <w:p>
      <w:pPr>
        <w:numPr>
          <w:ilvl w:val="0"/>
          <w:numId w:val="1007"/>
        </w:numPr>
        <w:pStyle w:val="Compact"/>
      </w:pPr>
      <w:r>
        <w:t xml:space="preserve">Окно «Носители» виртуальной машины: подключение образа оптического диска</w:t>
      </w:r>
    </w:p>
    <w:p>
      <w:pPr>
        <w:pStyle w:val="CaptionedFigure"/>
      </w:pPr>
      <w:bookmarkStart w:id="48" w:name="fig:007"/>
      <w:r>
        <w:drawing>
          <wp:inline>
            <wp:extent cx="4009292" cy="3248358"/>
            <wp:effectExtent b="0" l="0" r="0" t="0"/>
            <wp:docPr descr="Figure 7: Окно «Носители» виртуальной машины: подключение образа оптического диска" title="" id="46" name="Picture"/>
            <a:graphic>
              <a:graphicData uri="http://schemas.openxmlformats.org/drawingml/2006/picture">
                <pic:pic>
                  <pic:nvPicPr>
                    <pic:cNvPr descr="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92" cy="324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Окно «Носители» виртуальной машины: подключение образа оптического диска</w:t>
      </w:r>
    </w:p>
    <w:p>
      <w:pPr>
        <w:numPr>
          <w:ilvl w:val="0"/>
          <w:numId w:val="1008"/>
        </w:numPr>
        <w:pStyle w:val="Compact"/>
      </w:pPr>
      <w:r>
        <w:t xml:space="preserve">Носители виртуальной машины</w:t>
      </w:r>
    </w:p>
    <w:p>
      <w:pPr>
        <w:pStyle w:val="CaptionedFigure"/>
      </w:pPr>
      <w:bookmarkStart w:id="52" w:name="fig:008"/>
      <w:r>
        <w:drawing>
          <wp:inline>
            <wp:extent cx="5334000" cy="2504569"/>
            <wp:effectExtent b="0" l="0" r="0" t="0"/>
            <wp:docPr descr="Figure 8: Носители виртуальной машины" title="" id="50" name="Picture"/>
            <a:graphic>
              <a:graphicData uri="http://schemas.openxmlformats.org/drawingml/2006/picture">
                <pic:pic>
                  <pic:nvPicPr>
                    <pic:cNvPr descr="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Носители виртуальной машины</w:t>
      </w:r>
    </w:p>
    <w:p>
      <w:pPr>
        <w:numPr>
          <w:ilvl w:val="0"/>
          <w:numId w:val="1009"/>
        </w:numPr>
        <w:pStyle w:val="Compact"/>
      </w:pPr>
      <w:r>
        <w:t xml:space="preserve">Запуск виртуальной машины</w:t>
      </w:r>
    </w:p>
    <w:p>
      <w:pPr>
        <w:pStyle w:val="CaptionedFigure"/>
      </w:pPr>
      <w:bookmarkStart w:id="56" w:name="fig:009"/>
      <w:r>
        <w:drawing>
          <wp:inline>
            <wp:extent cx="4054053" cy="3747121"/>
            <wp:effectExtent b="0" l="0" r="0" t="0"/>
            <wp:docPr descr="Figure 9: Запуск виртуальной машины" title="" id="54" name="Picture"/>
            <a:graphic>
              <a:graphicData uri="http://schemas.openxmlformats.org/drawingml/2006/picture">
                <pic:pic>
                  <pic:nvPicPr>
                    <pic:cNvPr descr="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053" cy="374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Запуск виртуальной машины</w:t>
      </w:r>
    </w:p>
    <w:p>
      <w:pPr>
        <w:numPr>
          <w:ilvl w:val="0"/>
          <w:numId w:val="1010"/>
        </w:numPr>
        <w:pStyle w:val="Compact"/>
      </w:pPr>
      <w:r>
        <w:t xml:space="preserve">Установка английского языка интерфейса ОС</w:t>
      </w:r>
    </w:p>
    <w:p>
      <w:pPr>
        <w:pStyle w:val="CaptionedFigure"/>
      </w:pPr>
      <w:bookmarkStart w:id="60" w:name="fig:010"/>
      <w:r>
        <w:drawing>
          <wp:inline>
            <wp:extent cx="5070763" cy="4533633"/>
            <wp:effectExtent b="0" l="0" r="0" t="0"/>
            <wp:docPr descr="Figure 10: Установка английского языка интерфейса ОС" title="" id="58" name="Picture"/>
            <a:graphic>
              <a:graphicData uri="http://schemas.openxmlformats.org/drawingml/2006/picture">
                <pic:pic>
                  <pic:nvPicPr>
                    <pic:cNvPr descr="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4533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Установка английского языка интерфейса ОС</w:t>
      </w:r>
    </w:p>
    <w:p>
      <w:pPr>
        <w:numPr>
          <w:ilvl w:val="0"/>
          <w:numId w:val="1011"/>
        </w:numPr>
        <w:pStyle w:val="Compact"/>
      </w:pPr>
      <w:r>
        <w:t xml:space="preserve">Добавление русского языка, но в качестве языка по умолчанию</w:t>
      </w:r>
      <w:r>
        <w:t xml:space="preserve"> </w:t>
      </w:r>
      <w:r>
        <w:t xml:space="preserve">указан английский язык; задана комбинация клавиш для переключения</w:t>
      </w:r>
      <w:r>
        <w:t xml:space="preserve"> </w:t>
      </w:r>
      <w:r>
        <w:t xml:space="preserve">между раскладками клавиатуры (Alt_Shift)</w:t>
      </w:r>
    </w:p>
    <w:p>
      <w:pPr>
        <w:pStyle w:val="CaptionedFigure"/>
      </w:pPr>
      <w:bookmarkStart w:id="64" w:name="fig:011"/>
      <w:r>
        <w:drawing>
          <wp:inline>
            <wp:extent cx="5070763" cy="4527239"/>
            <wp:effectExtent b="0" l="0" r="0" t="0"/>
            <wp:docPr descr="Figure 11: Добавление русского языка, но в качестве языка по умолчанию указан английский язык" title="" id="62" name="Picture"/>
            <a:graphic>
              <a:graphicData uri="http://schemas.openxmlformats.org/drawingml/2006/picture">
                <pic:pic>
                  <pic:nvPicPr>
                    <pic:cNvPr descr="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452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Добавление русского языка, но в качестве языка по умолчанию указан английский язык</w:t>
      </w:r>
    </w:p>
    <w:p>
      <w:pPr>
        <w:numPr>
          <w:ilvl w:val="0"/>
          <w:numId w:val="1012"/>
        </w:numPr>
        <w:pStyle w:val="Compact"/>
      </w:pPr>
      <w:r>
        <w:t xml:space="preserve">Окно настройки установки: выбор программ</w:t>
      </w:r>
    </w:p>
    <w:p>
      <w:pPr>
        <w:pStyle w:val="CaptionedFigure"/>
      </w:pPr>
      <w:bookmarkStart w:id="68" w:name="fig:012"/>
      <w:r>
        <w:drawing>
          <wp:inline>
            <wp:extent cx="5070763" cy="4015686"/>
            <wp:effectExtent b="0" l="0" r="0" t="0"/>
            <wp:docPr descr="Figure 12: Окно настройки установки: выбор программ" title="" id="66" name="Picture"/>
            <a:graphic>
              <a:graphicData uri="http://schemas.openxmlformats.org/drawingml/2006/picture">
                <pic:pic>
                  <pic:nvPicPr>
                    <pic:cNvPr descr="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4015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Окно настройки установки: выбор программ</w:t>
      </w:r>
    </w:p>
    <w:p>
      <w:pPr>
        <w:numPr>
          <w:ilvl w:val="0"/>
          <w:numId w:val="1013"/>
        </w:numPr>
        <w:pStyle w:val="Compact"/>
      </w:pPr>
      <w:r>
        <w:t xml:space="preserve">Окно настройки установки: место установки</w:t>
      </w:r>
    </w:p>
    <w:p>
      <w:pPr>
        <w:pStyle w:val="CaptionedFigure"/>
      </w:pPr>
      <w:bookmarkStart w:id="72" w:name="fig:013"/>
      <w:r>
        <w:drawing>
          <wp:inline>
            <wp:extent cx="5102735" cy="4572000"/>
            <wp:effectExtent b="0" l="0" r="0" t="0"/>
            <wp:docPr descr="Figure 13: Окно настройки установки: место установки" title="" id="70" name="Picture"/>
            <a:graphic>
              <a:graphicData uri="http://schemas.openxmlformats.org/drawingml/2006/picture">
                <pic:pic>
                  <pic:nvPicPr>
                    <pic:cNvPr descr="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13: Окно настройки установки: место установки</w:t>
      </w:r>
    </w:p>
    <w:p>
      <w:pPr>
        <w:numPr>
          <w:ilvl w:val="0"/>
          <w:numId w:val="1014"/>
        </w:numPr>
        <w:pStyle w:val="Compact"/>
      </w:pPr>
      <w:r>
        <w:t xml:space="preserve">Окно настройки установки: сеть и имя узла</w:t>
      </w:r>
    </w:p>
    <w:p>
      <w:pPr>
        <w:pStyle w:val="CaptionedFigure"/>
      </w:pPr>
      <w:bookmarkStart w:id="76" w:name="fig:014"/>
      <w:r>
        <w:drawing>
          <wp:inline>
            <wp:extent cx="5051580" cy="4546422"/>
            <wp:effectExtent b="0" l="0" r="0" t="0"/>
            <wp:docPr descr="Figure 14: Окно настройки установки: сеть и имя узла" title="" id="74" name="Picture"/>
            <a:graphic>
              <a:graphicData uri="http://schemas.openxmlformats.org/drawingml/2006/picture">
                <pic:pic>
                  <pic:nvPicPr>
                    <pic:cNvPr descr="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4546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14: Окно настройки установки: сеть и имя узла</w:t>
      </w:r>
    </w:p>
    <w:p>
      <w:pPr>
        <w:numPr>
          <w:ilvl w:val="0"/>
          <w:numId w:val="1015"/>
        </w:numPr>
        <w:pStyle w:val="Compact"/>
      </w:pPr>
      <w:r>
        <w:t xml:space="preserve">Установка пароля для root</w:t>
      </w:r>
    </w:p>
    <w:p>
      <w:pPr>
        <w:pStyle w:val="CaptionedFigure"/>
      </w:pPr>
      <w:bookmarkStart w:id="80" w:name="fig:015"/>
      <w:r>
        <w:drawing>
          <wp:inline>
            <wp:extent cx="5051580" cy="2308380"/>
            <wp:effectExtent b="0" l="0" r="0" t="0"/>
            <wp:docPr descr="Figure 15: Установка пароля для root" title="" id="78" name="Picture"/>
            <a:graphic>
              <a:graphicData uri="http://schemas.openxmlformats.org/drawingml/2006/picture">
                <pic:pic>
                  <pic:nvPicPr>
                    <pic:cNvPr descr="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230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15: Установка пароля для root</w:t>
      </w:r>
    </w:p>
    <w:p>
      <w:pPr>
        <w:numPr>
          <w:ilvl w:val="0"/>
          <w:numId w:val="1016"/>
        </w:numPr>
        <w:pStyle w:val="Compact"/>
      </w:pPr>
      <w:r>
        <w:t xml:space="preserve">Установка пароля для пользователя с правами администратора</w:t>
      </w:r>
    </w:p>
    <w:p>
      <w:pPr>
        <w:pStyle w:val="CaptionedFigure"/>
      </w:pPr>
      <w:bookmarkStart w:id="84" w:name="fig:016"/>
      <w:r>
        <w:drawing>
          <wp:inline>
            <wp:extent cx="5089946" cy="3094892"/>
            <wp:effectExtent b="0" l="0" r="0" t="0"/>
            <wp:docPr descr="Figure 16: Установка пароля для пользователя с правами администратора" title="" id="82" name="Picture"/>
            <a:graphic>
              <a:graphicData uri="http://schemas.openxmlformats.org/drawingml/2006/picture">
                <pic:pic>
                  <pic:nvPicPr>
                    <pic:cNvPr descr="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309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16: Установка пароля для пользователя с правами администратора</w:t>
      </w:r>
    </w:p>
    <w:p>
      <w:pPr>
        <w:numPr>
          <w:ilvl w:val="0"/>
          <w:numId w:val="1017"/>
        </w:numPr>
        <w:pStyle w:val="Compact"/>
      </w:pPr>
      <w:r>
        <w:t xml:space="preserve">Завершение установки ОС</w:t>
      </w:r>
    </w:p>
    <w:p>
      <w:pPr>
        <w:pStyle w:val="CaptionedFigure"/>
      </w:pPr>
      <w:bookmarkStart w:id="88" w:name="fig:017"/>
      <w:r>
        <w:drawing>
          <wp:inline>
            <wp:extent cx="5083552" cy="4514450"/>
            <wp:effectExtent b="0" l="0" r="0" t="0"/>
            <wp:docPr descr="Figure 17: Завершение установки ОС" title="" id="86" name="Picture"/>
            <a:graphic>
              <a:graphicData uri="http://schemas.openxmlformats.org/drawingml/2006/picture">
                <pic:pic>
                  <pic:nvPicPr>
                    <pic:cNvPr descr="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52" cy="451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17: Завершение установки ОС</w:t>
      </w:r>
    </w:p>
    <w:bookmarkEnd w:id="89"/>
    <w:bookmarkStart w:id="130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numPr>
          <w:ilvl w:val="0"/>
          <w:numId w:val="1018"/>
        </w:numPr>
        <w:pStyle w:val="Compact"/>
      </w:pPr>
      <w:r>
        <w:t xml:space="preserve">Выполнение команды dmesg</w:t>
      </w:r>
    </w:p>
    <w:p>
      <w:pPr>
        <w:pStyle w:val="CaptionedFigure"/>
      </w:pPr>
      <w:bookmarkStart w:id="93" w:name="fig:018"/>
      <w:r>
        <w:drawing>
          <wp:inline>
            <wp:extent cx="5320145" cy="4565605"/>
            <wp:effectExtent b="0" l="0" r="0" t="0"/>
            <wp:docPr descr="Figure 18: Вывод команды dmesg" title="" id="91" name="Picture"/>
            <a:graphic>
              <a:graphicData uri="http://schemas.openxmlformats.org/drawingml/2006/picture">
                <pic:pic>
                  <pic:nvPicPr>
                    <pic:cNvPr descr="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56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18: Вывод команды dmesg</w:t>
      </w:r>
    </w:p>
    <w:p>
      <w:pPr>
        <w:numPr>
          <w:ilvl w:val="0"/>
          <w:numId w:val="1019"/>
        </w:numPr>
        <w:pStyle w:val="Compact"/>
      </w:pPr>
      <w:r>
        <w:t xml:space="preserve">Выполнение команды dmesg | less</w:t>
      </w:r>
    </w:p>
    <w:p>
      <w:pPr>
        <w:pStyle w:val="CaptionedFigure"/>
      </w:pPr>
      <w:bookmarkStart w:id="97" w:name="fig:019"/>
      <w:r>
        <w:drawing>
          <wp:inline>
            <wp:extent cx="2762383" cy="140676"/>
            <wp:effectExtent b="0" l="0" r="0" t="0"/>
            <wp:docPr descr="Figure 19: Вывод команды dmesg | less" title="" id="95" name="Picture"/>
            <a:graphic>
              <a:graphicData uri="http://schemas.openxmlformats.org/drawingml/2006/picture">
                <pic:pic>
                  <pic:nvPicPr>
                    <pic:cNvPr descr="2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83" cy="140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19: Вывод команды dmesg | less</w:t>
      </w:r>
    </w:p>
    <w:p>
      <w:pPr>
        <w:pStyle w:val="CaptionedFigure"/>
      </w:pPr>
      <w:bookmarkStart w:id="101" w:name="fig:020"/>
      <w:r>
        <w:drawing>
          <wp:inline>
            <wp:extent cx="5294567" cy="4546422"/>
            <wp:effectExtent b="0" l="0" r="0" t="0"/>
            <wp:docPr descr="Figure 20: Вывод команды dmesg | less" title="" id="99" name="Picture"/>
            <a:graphic>
              <a:graphicData uri="http://schemas.openxmlformats.org/drawingml/2006/picture">
                <pic:pic>
                  <pic:nvPicPr>
                    <pic:cNvPr descr="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67" cy="4546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 20: Вывод команды dmesg | less</w:t>
      </w:r>
    </w:p>
    <w:p>
      <w:pPr>
        <w:pStyle w:val="BodyText"/>
      </w:pPr>
      <w:r>
        <w:t xml:space="preserve">Получение следующей информации:</w:t>
      </w:r>
    </w:p>
    <w:p>
      <w:pPr>
        <w:numPr>
          <w:ilvl w:val="0"/>
          <w:numId w:val="1020"/>
        </w:numPr>
        <w:pStyle w:val="Compact"/>
      </w:pPr>
      <w:r>
        <w:t xml:space="preserve">Версия ядра Linux (Linux version).</w:t>
      </w:r>
    </w:p>
    <w:p>
      <w:pPr>
        <w:pStyle w:val="CaptionedFigure"/>
      </w:pPr>
      <w:bookmarkStart w:id="105" w:name="fig:021"/>
      <w:r>
        <w:drawing>
          <wp:inline>
            <wp:extent cx="5051580" cy="524341"/>
            <wp:effectExtent b="0" l="0" r="0" t="0"/>
            <wp:docPr descr="Figure 21: Версия ядра Linux (Linux version)" title="" id="103" name="Picture"/>
            <a:graphic>
              <a:graphicData uri="http://schemas.openxmlformats.org/drawingml/2006/picture">
                <pic:pic>
                  <pic:nvPicPr>
                    <pic:cNvPr descr="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 21: Версия ядра Linux (Linux version)</w:t>
      </w:r>
    </w:p>
    <w:p>
      <w:pPr>
        <w:numPr>
          <w:ilvl w:val="0"/>
          <w:numId w:val="1021"/>
        </w:numPr>
        <w:pStyle w:val="Compact"/>
      </w:pPr>
      <w:r>
        <w:t xml:space="preserve">Частота процессора (Detected Mhz processor). Частота 1992.003 MHz.</w:t>
      </w:r>
    </w:p>
    <w:p>
      <w:pPr>
        <w:pStyle w:val="CaptionedFigure"/>
      </w:pPr>
      <w:bookmarkStart w:id="109" w:name="fig:022"/>
      <w:r>
        <w:drawing>
          <wp:inline>
            <wp:extent cx="4533633" cy="364481"/>
            <wp:effectExtent b="0" l="0" r="0" t="0"/>
            <wp:docPr descr="Figure 22: Частота процессора (Detected Mhz processor)" title="" id="107" name="Picture"/>
            <a:graphic>
              <a:graphicData uri="http://schemas.openxmlformats.org/drawingml/2006/picture">
                <pic:pic>
                  <pic:nvPicPr>
                    <pic:cNvPr descr="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633" cy="36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 22: Частота процессора (Detected Mhz processor)</w:t>
      </w:r>
    </w:p>
    <w:p>
      <w:pPr>
        <w:numPr>
          <w:ilvl w:val="0"/>
          <w:numId w:val="1022"/>
        </w:numPr>
        <w:pStyle w:val="Compact"/>
      </w:pPr>
      <w:r>
        <w:t xml:space="preserve">Модель процессора (CPU0).</w:t>
      </w:r>
    </w:p>
    <w:p>
      <w:pPr>
        <w:pStyle w:val="CaptionedFigure"/>
      </w:pPr>
      <w:bookmarkStart w:id="113" w:name="fig:023"/>
      <w:r>
        <w:drawing>
          <wp:inline>
            <wp:extent cx="5102735" cy="402847"/>
            <wp:effectExtent b="0" l="0" r="0" t="0"/>
            <wp:docPr descr="Figure 23: Модель процессора (CPU0)" title="" id="111" name="Picture"/>
            <a:graphic>
              <a:graphicData uri="http://schemas.openxmlformats.org/drawingml/2006/picture">
                <pic:pic>
                  <pic:nvPicPr>
                    <pic:cNvPr descr="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40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 23: Модель процессора (CPU0)</w:t>
      </w:r>
    </w:p>
    <w:p>
      <w:pPr>
        <w:numPr>
          <w:ilvl w:val="0"/>
          <w:numId w:val="1023"/>
        </w:numPr>
        <w:pStyle w:val="Compact"/>
      </w:pPr>
      <w:r>
        <w:t xml:space="preserve">Объем доступной оперативной памяти (Memory available). 260860/2096696K доступно.</w:t>
      </w:r>
    </w:p>
    <w:p>
      <w:pPr>
        <w:pStyle w:val="CaptionedFigure"/>
      </w:pPr>
      <w:bookmarkStart w:id="117" w:name="fig:024"/>
      <w:r>
        <w:drawing>
          <wp:inline>
            <wp:extent cx="4891720" cy="978344"/>
            <wp:effectExtent b="0" l="0" r="0" t="0"/>
            <wp:docPr descr="Figure 24: Объем доступной оперативной памяти (Memory available)" title="" id="115" name="Picture"/>
            <a:graphic>
              <a:graphicData uri="http://schemas.openxmlformats.org/drawingml/2006/picture">
                <pic:pic>
                  <pic:nvPicPr>
                    <pic:cNvPr descr="2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20" cy="97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 24: Объем доступной оперативной памяти (Memory available)</w:t>
      </w:r>
    </w:p>
    <w:p>
      <w:pPr>
        <w:numPr>
          <w:ilvl w:val="0"/>
          <w:numId w:val="1024"/>
        </w:numPr>
        <w:pStyle w:val="Compact"/>
      </w:pPr>
      <w:r>
        <w:t xml:space="preserve">Тип обнаруженного гипервизора (Hypervisor detected). Тип - KVM.</w:t>
      </w:r>
    </w:p>
    <w:p>
      <w:pPr>
        <w:pStyle w:val="CaptionedFigure"/>
      </w:pPr>
      <w:bookmarkStart w:id="121" w:name="fig:025"/>
      <w:r>
        <w:drawing>
          <wp:inline>
            <wp:extent cx="4859748" cy="268565"/>
            <wp:effectExtent b="0" l="0" r="0" t="0"/>
            <wp:docPr descr="Figure 25: Тип обнаруженного гипервизора (Hypervisor detected)" title="" id="119" name="Picture"/>
            <a:graphic>
              <a:graphicData uri="http://schemas.openxmlformats.org/drawingml/2006/picture">
                <pic:pic>
                  <pic:nvPicPr>
                    <pic:cNvPr descr="2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8" cy="268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 25: Тип обнаруженного гипервизора (Hypervisor detected)</w:t>
      </w:r>
    </w:p>
    <w:p>
      <w:pPr>
        <w:numPr>
          <w:ilvl w:val="0"/>
          <w:numId w:val="1025"/>
        </w:numPr>
        <w:pStyle w:val="Compact"/>
      </w:pPr>
      <w:r>
        <w:t xml:space="preserve">Тип файловой системы корневого раздела. Вывожу все файловые системы при помощи команды df -Th. Тип файловой системы корневого раздела - xfs.</w:t>
      </w:r>
    </w:p>
    <w:p>
      <w:pPr>
        <w:pStyle w:val="CaptionedFigure"/>
      </w:pPr>
      <w:bookmarkStart w:id="125" w:name="fig:026"/>
      <w:r>
        <w:drawing>
          <wp:inline>
            <wp:extent cx="4994030" cy="1214937"/>
            <wp:effectExtent b="0" l="0" r="0" t="0"/>
            <wp:docPr descr="Figure 26: Тип файловой системы корневого раздела" title="" id="123" name="Picture"/>
            <a:graphic>
              <a:graphicData uri="http://schemas.openxmlformats.org/drawingml/2006/picture">
                <pic:pic>
                  <pic:nvPicPr>
                    <pic:cNvPr descr="27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0" cy="12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 26: Тип файловой системы корневого раздела</w:t>
      </w:r>
    </w:p>
    <w:p>
      <w:pPr>
        <w:numPr>
          <w:ilvl w:val="0"/>
          <w:numId w:val="1026"/>
        </w:numPr>
        <w:pStyle w:val="Compact"/>
      </w:pPr>
      <w:r>
        <w:t xml:space="preserve">Последовательность монтирования файловых систем. Для вывода использовала команду findmnt.</w:t>
      </w:r>
    </w:p>
    <w:p>
      <w:pPr>
        <w:pStyle w:val="CaptionedFigure"/>
      </w:pPr>
      <w:bookmarkStart w:id="129" w:name="fig:027"/>
      <w:r>
        <w:drawing>
          <wp:inline>
            <wp:extent cx="5064369" cy="3555289"/>
            <wp:effectExtent b="0" l="0" r="0" t="0"/>
            <wp:docPr descr="Figure 27: Последовательность монтирования файловых систем" title="" id="127" name="Picture"/>
            <a:graphic>
              <a:graphicData uri="http://schemas.openxmlformats.org/drawingml/2006/picture">
                <pic:pic>
                  <pic:nvPicPr>
                    <pic:cNvPr descr="30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9" cy="3555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 27: Последовательность монтирования файловых систем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Выполнила лабораторную работу №1.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131"/>
    <w:bookmarkStart w:id="132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27"/>
        </w:numPr>
        <w:pStyle w:val="Compact"/>
      </w:pPr>
      <w:r>
        <w:t xml:space="preserve">Методические материалы курса.</w:t>
      </w:r>
      <w:r>
        <w:t xml:space="preserve"> </w:t>
      </w:r>
      <w:r>
        <w:t xml:space="preserve">“</w:t>
      </w:r>
      <w:r>
        <w:t xml:space="preserve">Информационная безопасность компьютерных сетей</w:t>
      </w:r>
      <w:r>
        <w:t xml:space="preserve">”</w:t>
      </w:r>
      <w:r>
        <w:t xml:space="preserve"> </w:t>
      </w:r>
      <w:r>
        <w:t xml:space="preserve">Кулябов Д. С., Королькова А. В., Геворкян М. Н.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94" Target="media/rId94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29" Target="media/rId29.png" /><Relationship Type="http://schemas.openxmlformats.org/officeDocument/2006/relationships/image" Id="rId126" Target="media/rId126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Кондрашина Мария Сергеевна</dc:creator>
  <dc:language>ru-RU</dc:language>
  <cp:keywords/>
  <dcterms:created xsi:type="dcterms:W3CDTF">2022-09-08T19:17:54Z</dcterms:created>
  <dcterms:modified xsi:type="dcterms:W3CDTF">2022-09-08T19:17:54Z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fontsize">
    <vt:lpwstr>12pt</vt:lpwstr>
  </property>
  <property fmtid="{D5CDD505-2E9C-101B-9397-08002B2CF9AE}" pid="27" name="header-includes">
    <vt:lpwstr/>
  </property>
  <property fmtid="{D5CDD505-2E9C-101B-9397-08002B2CF9AE}" pid="28" name="indent">
    <vt:lpwstr>True</vt:lpwstr>
  </property>
  <property fmtid="{D5CDD505-2E9C-101B-9397-08002B2CF9AE}" pid="29" name="lastDelim">
    <vt:lpwstr>, </vt:lpwstr>
  </property>
  <property fmtid="{D5CDD505-2E9C-101B-9397-08002B2CF9AE}" pid="30" name="linestretch">
    <vt:lpwstr>1.5</vt:lpwstr>
  </property>
  <property fmtid="{D5CDD505-2E9C-101B-9397-08002B2CF9AE}" pid="31" name="linkReferences">
    <vt:lpwstr>False</vt:lpwstr>
  </property>
  <property fmtid="{D5CDD505-2E9C-101B-9397-08002B2CF9AE}" pid="32" name="listingTemplate">
    <vt:lpwstr>listingTitle ititleDelim t</vt:lpwstr>
  </property>
  <property fmtid="{D5CDD505-2E9C-101B-9397-08002B2CF9AE}" pid="33" name="listingTitle">
    <vt:lpwstr>Listing</vt:lpwstr>
  </property>
  <property fmtid="{D5CDD505-2E9C-101B-9397-08002B2CF9AE}" pid="34" name="listings">
    <vt:lpwstr>False</vt:lpwstr>
  </property>
  <property fmtid="{D5CDD505-2E9C-101B-9397-08002B2CF9AE}" pid="35" name="lof">
    <vt:lpwstr>True</vt:lpwstr>
  </property>
  <property fmtid="{D5CDD505-2E9C-101B-9397-08002B2CF9AE}" pid="36" name="lofTitle">
    <vt:lpwstr>List of Figures</vt:lpwstr>
  </property>
  <property fmtid="{D5CDD505-2E9C-101B-9397-08002B2CF9AE}" pid="37" name="lolTitle">
    <vt:lpwstr>List of Listings</vt:lpwstr>
  </property>
  <property fmtid="{D5CDD505-2E9C-101B-9397-08002B2CF9AE}" pid="38" name="lot">
    <vt:lpwstr>True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Установка и конфигурация операционной системы на виртуальную машину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