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Кондрашина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шифрования.[1]</w:t>
      </w:r>
    </w:p>
    <w:bookmarkEnd w:id="21"/>
    <w:bookmarkStart w:id="34" w:name="Xa17e9115fe46043809d5468d710397b9afc3583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работы. Создание программы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 (fig. 1) - (fig. 2)</w:t>
      </w:r>
    </w:p>
    <w:p>
      <w:pPr>
        <w:pStyle w:val="CaptionedFigure"/>
      </w:pPr>
      <w:bookmarkStart w:id="25" w:name="fig:001"/>
      <w:r>
        <w:drawing>
          <wp:inline>
            <wp:extent cx="5334000" cy="1647475"/>
            <wp:effectExtent b="0" l="0" r="0" t="0"/>
            <wp:docPr descr="Figure 1: Работа с открытым текстом. Перевод в шестнадцатеричное представление." title="" id="23" name="Picture"/>
            <a:graphic>
              <a:graphicData uri="http://schemas.openxmlformats.org/drawingml/2006/picture">
                <pic:pic>
                  <pic:nvPicPr>
                    <pic:cNvPr descr="screen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с открытым текстом. Перевод в шестнадцатеричное представление.</w:t>
      </w:r>
    </w:p>
    <w:p>
      <w:pPr>
        <w:pStyle w:val="CaptionedFigure"/>
      </w:pPr>
      <w:bookmarkStart w:id="29" w:name="fig:002"/>
      <w:r>
        <w:drawing>
          <wp:inline>
            <wp:extent cx="5334000" cy="2256692"/>
            <wp:effectExtent b="0" l="0" r="0" t="0"/>
            <wp:docPr descr="Figure 2: Создание ключа и шифрование текста" title="" id="27" name="Picture"/>
            <a:graphic>
              <a:graphicData uri="http://schemas.openxmlformats.org/drawingml/2006/picture">
                <pic:pic>
                  <pic:nvPicPr>
                    <pic:cNvPr descr="screen\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Создание ключа и шифрование текста</w:t>
      </w:r>
    </w:p>
    <w:p>
      <w:pPr>
        <w:numPr>
          <w:ilvl w:val="0"/>
          <w:numId w:val="1002"/>
        </w:numPr>
        <w:pStyle w:val="Compact"/>
      </w:pPr>
      <w:r>
        <w:t xml:space="preserve">Оределить ключ, с помощью которого шифротекст может быть преобразован в некоторый фрагмент текста,представляющий собой один из возможных вариантов прочтения открытого текста.(fig. 3)</w:t>
      </w:r>
    </w:p>
    <w:p>
      <w:pPr>
        <w:pStyle w:val="CaptionedFigure"/>
      </w:pPr>
      <w:bookmarkStart w:id="33" w:name="fig:003"/>
      <w:r>
        <w:drawing>
          <wp:inline>
            <wp:extent cx="5334000" cy="2475473"/>
            <wp:effectExtent b="0" l="0" r="0" t="0"/>
            <wp:docPr descr="Figure 3: Определение ключа по отрытому и зашифрованному тексту" title="" id="31" name="Picture"/>
            <a:graphic>
              <a:graphicData uri="http://schemas.openxmlformats.org/drawingml/2006/picture">
                <pic:pic>
                  <pic:nvPicPr>
                    <pic:cNvPr descr="screen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Определение ключа по отрытому и зашифрованному тексту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Выполнила лабораторную работу №7.</w:t>
      </w:r>
    </w:p>
    <w:p>
      <w:pPr>
        <w:numPr>
          <w:ilvl w:val="0"/>
          <w:numId w:val="1003"/>
        </w:numPr>
        <w:pStyle w:val="Compact"/>
      </w:pPr>
      <w:r>
        <w:t xml:space="preserve">Освоила на практике применение режима однократного гаммирования</w:t>
      </w:r>
    </w:p>
    <w:bookmarkEnd w:id="35"/>
    <w:bookmarkStart w:id="36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Методические материалы курса.</w:t>
      </w:r>
      <w:r>
        <w:t xml:space="preserve"> </w:t>
      </w:r>
      <w:r>
        <w:t xml:space="preserve">“</w:t>
      </w:r>
      <w:r>
        <w:t xml:space="preserve">Информационная безопасность компьютерных сетей</w:t>
      </w:r>
      <w:r>
        <w:t xml:space="preserve">”</w:t>
      </w:r>
      <w:r>
        <w:t xml:space="preserve"> </w:t>
      </w:r>
      <w:r>
        <w:t xml:space="preserve">Кулябов Д. С., Королькова А. В., Геворкян М. Н.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Кондрашина Мария Сергеевна</dc:creator>
  <dc:language>ru-RU</dc:language>
  <cp:keywords/>
  <dcterms:created xsi:type="dcterms:W3CDTF">2022-10-18T19:27:43Z</dcterms:created>
  <dcterms:modified xsi:type="dcterms:W3CDTF">2022-10-18T19:27:43Z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Элементы криптографии. Однократное гаммирование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