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Кондрашина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37" w:name="Xa17e9115fe46043809d5468d710397b9afc3583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работы. Создание программы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</w:p>
    <w:p>
      <w:pPr>
        <w:pStyle w:val="BodyText"/>
      </w:pP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</w:t>
      </w:r>
    </w:p>
    <w:p>
      <w:pPr>
        <w:numPr>
          <w:ilvl w:val="0"/>
          <w:numId w:val="1001"/>
        </w:numPr>
        <w:pStyle w:val="Compact"/>
      </w:pPr>
      <w:r>
        <w:t xml:space="preserve">Перевод открытых текстов в шестнадцатеричное представление. (fig. 1)</w:t>
      </w:r>
    </w:p>
    <w:p>
      <w:pPr>
        <w:pStyle w:val="CaptionedFigure"/>
      </w:pPr>
      <w:bookmarkStart w:id="24" w:name="fig:001"/>
      <w:r>
        <w:drawing>
          <wp:inline>
            <wp:extent cx="5334000" cy="2041953"/>
            <wp:effectExtent b="0" l="0" r="0" t="0"/>
            <wp:docPr descr="Figure 1: Перевод открытых текстов в шестнадцатеричное представление." title="" id="22" name="Picture"/>
            <a:graphic>
              <a:graphicData uri="http://schemas.openxmlformats.org/drawingml/2006/picture">
                <pic:pic>
                  <pic:nvPicPr>
                    <pic:cNvPr descr="screen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Перевод открытых текстов в шестнадцатеричное представление.</w:t>
      </w:r>
    </w:p>
    <w:p>
      <w:pPr>
        <w:numPr>
          <w:ilvl w:val="0"/>
          <w:numId w:val="1002"/>
        </w:numPr>
        <w:pStyle w:val="Compact"/>
      </w:pPr>
      <w:r>
        <w:t xml:space="preserve">Создание ключа и шифрование текстов (шестнадцатеричное представление (fig. 2)</w:t>
      </w:r>
    </w:p>
    <w:p>
      <w:pPr>
        <w:pStyle w:val="CaptionedFigure"/>
      </w:pPr>
      <w:bookmarkStart w:id="28" w:name="fig:002"/>
      <w:r>
        <w:drawing>
          <wp:inline>
            <wp:extent cx="5334000" cy="1641230"/>
            <wp:effectExtent b="0" l="0" r="0" t="0"/>
            <wp:docPr descr="Figure 2: Создание ключа и шифрование текста" title="" id="26" name="Picture"/>
            <a:graphic>
              <a:graphicData uri="http://schemas.openxmlformats.org/drawingml/2006/picture">
                <pic:pic>
                  <pic:nvPicPr>
                    <pic:cNvPr descr="screen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Создание ключа и шифрование текста</w:t>
      </w:r>
    </w:p>
    <w:p>
      <w:pPr>
        <w:numPr>
          <w:ilvl w:val="0"/>
          <w:numId w:val="1003"/>
        </w:numPr>
        <w:pStyle w:val="Compact"/>
      </w:pPr>
      <w:r>
        <w:t xml:space="preserve">Зашиврованные тексты. (fig. 3)</w:t>
      </w:r>
    </w:p>
    <w:p>
      <w:pPr>
        <w:pStyle w:val="CaptionedFigure"/>
      </w:pPr>
      <w:bookmarkStart w:id="32" w:name="fig:003"/>
      <w:r>
        <w:drawing>
          <wp:inline>
            <wp:extent cx="5334000" cy="1130252"/>
            <wp:effectExtent b="0" l="0" r="0" t="0"/>
            <wp:docPr descr="Figure 3: Зашиврованные тексты" title="" id="30" name="Picture"/>
            <a:graphic>
              <a:graphicData uri="http://schemas.openxmlformats.org/drawingml/2006/picture">
                <pic:pic>
                  <pic:nvPicPr>
                    <pic:cNvPr descr="screen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Зашиврованные тексты</w:t>
      </w:r>
    </w:p>
    <w:p>
      <w:pPr>
        <w:numPr>
          <w:ilvl w:val="0"/>
          <w:numId w:val="1004"/>
        </w:numPr>
        <w:pStyle w:val="Compact"/>
      </w:pPr>
      <w:r>
        <w:t xml:space="preserve">Определение открытого текста по второму отрытому тексту и зашифрованным текстам (без использования ключа)(fig. 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CaptionedFigure"/>
      </w:pPr>
      <w:bookmarkStart w:id="36" w:name="fig:04"/>
      <w:r>
        <w:drawing>
          <wp:inline>
            <wp:extent cx="5334000" cy="2234513"/>
            <wp:effectExtent b="0" l="0" r="0" t="0"/>
            <wp:docPr descr="Figure 4: Определение открытого текста по второму отрытому тексту и зашифрованным текстам" title="" id="34" name="Picture"/>
            <a:graphic>
              <a:graphicData uri="http://schemas.openxmlformats.org/drawingml/2006/picture">
                <pic:pic>
                  <pic:nvPicPr>
                    <pic:cNvPr descr="screen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Определение открытого текста по второму отрытому тексту и зашифрованным текстам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5"/>
        </w:numPr>
        <w:pStyle w:val="Compact"/>
      </w:pPr>
      <w:r>
        <w:t xml:space="preserve">Выполнила лабораторную работу №8.</w:t>
      </w:r>
    </w:p>
    <w:p>
      <w:pPr>
        <w:numPr>
          <w:ilvl w:val="0"/>
          <w:numId w:val="1005"/>
        </w:numPr>
        <w:pStyle w:val="Compact"/>
      </w:pPr>
      <w:r>
        <w:t xml:space="preserve">Освоила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38"/>
    <w:bookmarkStart w:id="39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курса.</w:t>
      </w:r>
      <w:r>
        <w:t xml:space="preserve"> </w:t>
      </w:r>
      <w:r>
        <w:t xml:space="preserve">“</w:t>
      </w:r>
      <w:r>
        <w:t xml:space="preserve">Информационная безопасность компьютерных сетей</w:t>
      </w:r>
      <w:r>
        <w:t xml:space="preserve">”</w:t>
      </w:r>
      <w:r>
        <w:t xml:space="preserve"> </w:t>
      </w:r>
      <w:r>
        <w:t xml:space="preserve">Кулябов Д. С., Королькова А. В., Геворкян М. Н.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Кондрашина Мария Сергеевна</dc:creator>
  <dc:language>ru-RU</dc:language>
  <cp:keywords/>
  <dcterms:created xsi:type="dcterms:W3CDTF">2022-10-18T18:51:59Z</dcterms:created>
  <dcterms:modified xsi:type="dcterms:W3CDTF">2022-10-18T18:51:59Z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