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之快速使用Spring IoC容器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设计语言发展的幼年时期，人们认为能够从实例获取类就足够了。直到组件化编程的出现，接口实现对接口的依赖造成了诸多不便，于是，从类获取实例也变得十分必要。基于这种需求，出现了新的语言特性——反射。在反射特性的基础上，出现了IoC（控制反转）容器技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可以将Java Bean注册到Application Context（看作一张索引表）中，在Controller中通过id获取Bean实例，从而搭建起连接Model层和Controller层的桥梁。Spring框架需要，但是缺少一个通用的Application Context工具类，在这篇笔记中摘录一个比较好用的实现。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在Application的start方法中读取ctx配置文件并加载应用上下文至工具类中，即可实现IoC容器的快速使用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</w:rPr>
        <w:t>SpringBeanFactory</w:t>
      </w:r>
      <w:r>
        <w:rPr>
          <w:rFonts w:hint="eastAsia"/>
          <w:u w:val="single"/>
          <w:lang w:val="en-US" w:eastAsia="zh-CN"/>
        </w:rPr>
        <w:t>.java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public class SpringBeanFactory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private static final SpringBeanFactory instance = new SpringBeanFactory();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private ApplicationContext ctx 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protected ApplicationContext getCtx()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ctx;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私有构造函数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private SpringBeanFactory()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获取单子实例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public static SpringBeanFactory getInstance()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SPRING是否初始化完成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public static boolean isContextReady(){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getInstance().getCtx()!=null;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获取指定ID的Bean实例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@param id Spring Bean的唯一ID串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@return Bean实例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@SuppressWarnings("unchecked")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public static &lt;T&gt;  T getSpringBean(String 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(T) getInstance().getBean(id);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获取指定ID和类型的Bean实例列表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@param type Spring Bean的唯一ID串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@return Bean实例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public static &lt;T&gt; List&lt;T&gt; getSpringBeans(Class&lt;T&gt; type)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getInstance().getBean(type);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初始化ApplicationContext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@param ctx 上下文实例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public synchronized static void setApplicationContext(ApplicationContext ctx)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getInstance().setContext(ctx);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初始化ApplicationContext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@param ctx 上下文实例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private void setContext(ApplicationContext ctx)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this.ctx = ctx;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从ApplicationContext中获取Bean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@param id Spring Bean的唯一ID串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@return Bean实例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private Object getBean(String 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ctx.getBean(id);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从ApplicationContext中获取Bean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@param type Spring Bean的唯一ID串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 @return Bean实例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private &lt;T&gt; List&lt;T&gt; getBean(Class&lt;T&gt; type)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String[] beanNames = ctx.getBeanNamesForType(type);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if (beanNames == null)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new ArrayList&lt;T&gt;();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List&lt;T&gt; beans = new ArrayList&lt;T&gt;();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for (String beanName : beanNames)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    beans.add(ctx.getBean(beanName, type));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beans;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4E81CEB"/>
    <w:rsid w:val="0B1775D8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3DA0C7D"/>
    <w:rsid w:val="24C259A5"/>
    <w:rsid w:val="2AFB0B25"/>
    <w:rsid w:val="2D8819AE"/>
    <w:rsid w:val="2E2014AB"/>
    <w:rsid w:val="2EC74F6A"/>
    <w:rsid w:val="32625E14"/>
    <w:rsid w:val="350D6881"/>
    <w:rsid w:val="35FA3181"/>
    <w:rsid w:val="36D93C07"/>
    <w:rsid w:val="3C36353F"/>
    <w:rsid w:val="3E4A0526"/>
    <w:rsid w:val="40FF53B1"/>
    <w:rsid w:val="44C70D28"/>
    <w:rsid w:val="45C91867"/>
    <w:rsid w:val="484D2931"/>
    <w:rsid w:val="48AA064F"/>
    <w:rsid w:val="49496091"/>
    <w:rsid w:val="4979679F"/>
    <w:rsid w:val="4BA52E52"/>
    <w:rsid w:val="4BCB4194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991474D"/>
    <w:rsid w:val="5A0B523E"/>
    <w:rsid w:val="5BB11DA5"/>
    <w:rsid w:val="5BF61E5F"/>
    <w:rsid w:val="5CEB3863"/>
    <w:rsid w:val="5E5D7BC9"/>
    <w:rsid w:val="69797C2C"/>
    <w:rsid w:val="69E0341C"/>
    <w:rsid w:val="6BAC7FB9"/>
    <w:rsid w:val="6C3D32C2"/>
    <w:rsid w:val="6D957EFF"/>
    <w:rsid w:val="6F123701"/>
    <w:rsid w:val="6F5E4934"/>
    <w:rsid w:val="710F58E4"/>
    <w:rsid w:val="71A24D37"/>
    <w:rsid w:val="72DD2EB0"/>
    <w:rsid w:val="741671A1"/>
    <w:rsid w:val="759864D7"/>
    <w:rsid w:val="76760751"/>
    <w:rsid w:val="798A47E6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2020-03-28T07:32:37Z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