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600"/>
        <w:jc w:val="center"/>
      </w:pPr>
      <w:r>
        <w:drawing>
          <wp:inline distT="0" distB="0" distL="0" distR="0">
            <wp:extent cx="1619250" cy="184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UNIVERSIDAD ESTATAL PENÍNSULA DE SANTA ELENA</w:t>
      </w:r>
    </w:p>
    <w:p>
      <w:pPr>
        <w:spacing w:after="50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FACULTAD DE SISTEMAS Y TELECOMUNICACIONES</w:t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TEMA:</w:t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“ENTREGABLE 3 · MI PRIMER DASHBOARD</w:t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SOLUCIÓN ANALÍTICA COMPLETA CON POSTGRESQL, PYTHON, STREAMLIT E INTELIGENCIA ARTIFICIAL</w:t>
      </w:r>
    </w:p>
    <w:p>
      <w:pPr>
        <w:spacing w:after="40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ANÁLISIS DE VENTAS, ENTREGAS Y SATISFACCIÓN DEL CLIENTE EN EL E-COMMERCE BRASILEÑO OLIST (2017–2018)”</w:t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ASIGNATURA:</w:t>
      </w:r>
    </w:p>
    <w:p>
      <w:pPr>
        <w:spacing w:after="30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INTELIGENCIA DE NEGOCIOS</w:t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CURSO Y PARALELO:</w:t>
      </w:r>
    </w:p>
    <w:p>
      <w:pPr>
        <w:spacing w:after="30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6/1</w:t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DOCENTE:</w:t>
      </w:r>
    </w:p>
    <w:p>
      <w:pPr>
        <w:spacing w:after="30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ING. ANTHONY PACHAY ESPINOZA, MSC.</w:t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ESTUDIANTE:</w:t>
      </w:r>
    </w:p>
    <w:p>
      <w:pPr>
        <w:spacing w:after="30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MARIA DE LOS ANGELES LLERENA HERNANDEZ</w:t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REPOSITORIO:</w:t>
      </w:r>
    </w:p>
    <w:p>
      <w:pPr>
        <w:spacing w:after="600" w:before="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github.com/MariaLlerenaHernandez/Brazilian-E-Commerce-Public-Dataset-by-Olist</w:t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– 2027</w:t>
      </w:r>
    </w:p>
    <w:p>
      <w:r>
        <w:br w:type="page"/>
      </w:r>
    </w:p>
    <w:p>
      <w:pPr>
        <w:sectPr>
          <w:pgSz w:w="11906" w:h="16838" w:orient="portrait"/>
          <w:pgMar w:top="1418" w:right="1418" w:bottom="1418" w:left="1418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18"/>
          <w:szCs w:val="18"/>
          <w:highlight w:val="yellow"/>
        </w:rPr>
        <w:t xml:space="preserve">Nota: al abrir el documento en Word, haga clic derecho sobre el índice → «Actualizar campos» para mostrar los números de página.</w:t>
      </w:r>
    </w:p>
    <w:p>
      <w:r>
        <w:br w:type="page"/>
      </w:r>
    </w:p>
    <w:p>
      <w:pPr>
        <w:pStyle w:val="Heading1"/>
      </w:pPr>
      <w:r>
        <w:t xml:space="preserve">1. Introducción y alcance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</w:rPr>
        <w:t xml:space="preserve">El presente documento consolida la versión final del proyecto de Inteligencia de Negocios desarrollado durante el corte. Integra, corrige y amplía los componentes trabajados en el Entregable 1 (comprensión del dataset y propuesta de modelo) y en el Entregable 2 (construcción del Data Mart), y añade la aplicación analítica en Streamlit, de modo que el entregable es </w:t>
      </w:r>
      <w:r>
        <w:rPr>
          <w:rFonts w:ascii="Times New Roman" w:cs="Times New Roman" w:eastAsia="Times New Roman" w:hAnsi="Times New Roman"/>
          <w:b/>
          <w:bCs/>
        </w:rPr>
        <w:t xml:space="preserve">autocontenido</w:t>
      </w:r>
      <w:r>
        <w:rPr>
          <w:rFonts w:ascii="Times New Roman" w:cs="Times New Roman" w:eastAsia="Times New Roman" w:hAnsi="Times New Roman"/>
        </w:rPr>
        <w:t xml:space="preserve">: no requiere consultar los documentos anteriores.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Objetivo.</w:t>
      </w:r>
      <w:r>
        <w:rPr>
          <w:rFonts w:ascii="Times New Roman" w:cs="Times New Roman" w:eastAsia="Times New Roman" w:hAnsi="Times New Roman"/>
        </w:rPr>
        <w:t xml:space="preserve"> Diseñar e implementar una solución de Business Intelligence de extremo a extremo sobre el dataset público de Olist, que transforme ≈ 1,55 millones de filas de datos transaccionales en indicadores que apoyen decisiones comerciales, logísticas y de servicio al cliente.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Pregunta central del proyecto.</w:t>
      </w:r>
      <w:r>
        <w:rPr>
          <w:rFonts w:ascii="Times New Roman" w:cs="Times New Roman" w:eastAsia="Times New Roman" w:hAnsi="Times New Roman"/>
        </w:rPr>
        <w:t xml:space="preserve"> La exploración del Entregable 1 sugirió que la puntualidad de la entrega determina la satisfacción del cliente. La solución final confirma y cuantifica esa relación, e identifica en qué meses, estados y vendedores se concentra el problema.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12287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404040"/>
          <w:sz w:val="19"/>
          <w:szCs w:val="19"/>
        </w:rPr>
        <w:t xml:space="preserve">Figura 1. Arquitectura implementada: del CSV de Kaggle a la decisión de negocio.</w:t>
      </w:r>
    </w:p>
    <w:p>
      <w:pPr>
        <w:pStyle w:val="Heading2"/>
      </w:pPr>
      <w:r>
        <w:t xml:space="preserve">1.1 Control de cambios respecto a los Entregables 1 y 2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</w:rPr>
        <w:t xml:space="preserve">La Tabla 1 resume las correcciones y mejoras incorporadas. Ninguna altera el grano ni la estructura del modelo estrella del Entregable 2; las cifras estructurales (112 279 filas de hechos, 97 905 pedidos válidos, R$ 13 449 529,68 de ingreso) se reproducen exactamente.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0"/>
        <w:gridCol w:w="1700"/>
        <w:gridCol w:w="3070"/>
        <w:gridCol w:w="3900"/>
      </w:tblGrid>
      <w:tr>
        <w:trPr>
          <w:tblHeader/>
        </w:trP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Situación en E1/E2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Cambio en el Entregable 3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Limpieza y transformación</w:t>
            </w:r>
          </w:p>
        </w:tc>
        <w:tc>
          <w:tcPr>
            <w:tcW w:type="dxa" w:w="3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Normalización realizada con funciones SQL (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fn_normalizar_ciudad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) sobre staging crudo.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Limpieza completa en Python/pandas (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etl/02_limpieza.py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), según la arquitectura exigida. Staging recibe datos ya limpios y con tipos correctos.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Trazabilidad de la carga</w:t>
            </w:r>
          </w:p>
        </w:tc>
        <w:tc>
          <w:tcPr>
            <w:tcW w:type="dxa" w:w="3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Sin registro de filas descartadas.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Bitácora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staging.etl_log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(filas origen, limpias, descartadas y acciones) y validación 0 «origen vs. staging».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Ciudades inválidas</w:t>
            </w:r>
          </w:p>
        </w:tc>
        <w:tc>
          <w:tcPr>
            <w:tcW w:type="dxa" w:w="3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Valores como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04482255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, correos o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sp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quedaban como ciudad.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Imputación por prefijo postal con la tabla de geolocalización deduplicada (8 casos).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Proceso de carga</w:t>
            </w:r>
          </w:p>
        </w:tc>
        <w:tc>
          <w:tcPr>
            <w:tcW w:type="dxa" w:w="3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Scripts SQL ejecutados uno a uno desde PowerShell.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etl/03_carga.py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: COPY + scripts del DW + validaciones en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una sola transacción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run_pipeline.py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ejecuta todo.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Capa analítica</w:t>
            </w:r>
          </w:p>
        </w:tc>
        <w:tc>
          <w:tcPr>
            <w:tcW w:type="dxa" w:w="3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Vista + 4 funciones con 4 filtros, condición repetida en cada función.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Función base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fn_ventas_filtradas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(filtro definido una sola vez), 5 filtros (se añaden estado UF y medio de pago), 9 funciones y 8 indicadores en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fn_kpis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Ranking de vendedores</w:t>
            </w:r>
          </w:p>
        </w:tc>
        <w:tc>
          <w:tcPr>
            <w:tcW w:type="dxa" w:w="3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Solo orden por ingreso; llamada posicional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(NULL,NULL,NULL,NULL,5)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.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Orden por ingreso o por % de retraso y umbral de pedidos mínimos. Se invoca con parámetros con nombre: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fn_ranking_vendedores(p_limite =&gt; 5)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Mockup</w:t>
            </w:r>
          </w:p>
        </w:tc>
        <w:tc>
          <w:tcPr>
            <w:tcW w:type="dxa" w:w="3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Una página HTML estática.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Cuatro páginas; cada componente indica la función SQL que lo alimenta (sección 9).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KPI del E1</w:t>
            </w:r>
          </w:p>
        </w:tc>
        <w:tc>
          <w:tcPr>
            <w:tcW w:type="dxa" w:w="3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Valores preliminares sin limpieza (p. ej. OTD 91,9 %).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Valores recalculados sobre el modelo y diferencias explicadas (sección 3.3).</w:t>
            </w:r>
          </w:p>
        </w:tc>
      </w:tr>
    </w:tbl>
    <w:p>
      <w:pPr>
        <w:spacing w:after="200" w:before="60"/>
      </w:pPr>
      <w:r>
        <w:rPr>
          <w:rFonts w:ascii="Times New Roman" w:cs="Times New Roman" w:eastAsia="Times New Roman" w:hAnsi="Times New Roman"/>
          <w:i/>
          <w:iCs/>
          <w:color w:val="404040"/>
          <w:sz w:val="18"/>
          <w:szCs w:val="18"/>
        </w:rPr>
        <w:t xml:space="preserve">Tabla 1. Control de cambios del proyecto.</w:t>
      </w:r>
    </w:p>
    <w:p>
      <w:pPr>
        <w:pStyle w:val="Heading1"/>
      </w:pPr>
      <w:r>
        <w:t xml:space="preserve">2. Dataset y comprensión del problema</w:t>
      </w:r>
    </w:p>
    <w:p>
      <w:pPr>
        <w:pStyle w:val="Heading2"/>
      </w:pPr>
      <w:r>
        <w:t xml:space="preserve">2.1 Ficha del dataset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6870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Nombre</w:t>
            </w:r>
          </w:p>
        </w:tc>
        <w:tc>
          <w:tcPr>
            <w:tcW w:type="dxa" w:w="6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Brazilian E-Commerce Public Dataset by Olist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Enlace de origen</w:t>
            </w:r>
          </w:p>
        </w:tc>
        <w:tc>
          <w:tcPr>
            <w:tcW w:type="dxa" w:w="6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https://www.kaggle.com/datasets/olistbr/brazilian-ecommerce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Publicado por</w:t>
            </w:r>
          </w:p>
        </w:tc>
        <w:tc>
          <w:tcPr>
            <w:tcW w:type="dxa" w:w="6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Olist, marketplace brasileño que conecta pequeños comercios con grandes tiendas en línea. Licencia CC BY-NC-SA 4.0.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Descripción general</w:t>
            </w:r>
          </w:p>
        </w:tc>
        <w:tc>
          <w:tcPr>
            <w:tcW w:type="dxa" w:w="6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Datos comerciales reales y anonimizados de pedidos realizados en Brasil a través de Olist. Cubre el ciclo completo de una compra: cliente, pedido, productos, vendedor, pago, envío y reseña.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Estructura</w:t>
            </w:r>
          </w:p>
        </w:tc>
        <w:tc>
          <w:tcPr>
            <w:tcW w:type="dxa" w:w="6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 archivos CSV relacionados por las llaves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order_id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customer_id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product_id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seller_id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y el prefijo de código postal.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Cantidad de registros</w:t>
            </w:r>
          </w:p>
        </w:tc>
        <w:tc>
          <w:tcPr>
            <w:tcW w:type="dxa" w:w="6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99 441 pedidos · 112 650 ítems · 103 886 pagos · 99 224 reseñas · 99 441 clientes · 3 095 vendedores · 32 951 productos · 1 000 163 filas de geolocalización · 71 traducciones. Total ≈ 1,55 millones de filas.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Cantidad de columnas</w:t>
            </w:r>
          </w:p>
        </w:tc>
        <w:tc>
          <w:tcPr>
            <w:tcW w:type="dxa" w:w="6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52 columnas entre las 9 tablas (entre 2 y 9 por tabla).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Período temporal</w:t>
            </w:r>
          </w:p>
        </w:tc>
        <w:tc>
          <w:tcPr>
            <w:tcW w:type="dxa" w:w="6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Compras del 04/09/2016 al 17/10/2018. Período analizado (meses completos):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01/01/2017 – 31/08/2018 (20 meses)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.</w:t>
            </w:r>
          </w:p>
        </w:tc>
      </w:tr>
    </w:tbl>
    <w:p>
      <w:pPr>
        <w:spacing w:after="200" w:before="60"/>
      </w:pPr>
      <w:r>
        <w:rPr>
          <w:rFonts w:ascii="Times New Roman" w:cs="Times New Roman" w:eastAsia="Times New Roman" w:hAnsi="Times New Roman"/>
          <w:i/>
          <w:iCs/>
          <w:color w:val="404040"/>
          <w:sz w:val="18"/>
          <w:szCs w:val="18"/>
        </w:rPr>
        <w:t xml:space="preserve">Tabla 2. Ficha técnica del dataset.</w:t>
      </w:r>
    </w:p>
    <w:p>
      <w:pPr>
        <w:pStyle w:val="Heading2"/>
      </w:pPr>
      <w:r>
        <w:t xml:space="preserve">2.2 Tablas de origen y qué representa una fila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900"/>
        <w:gridCol w:w="500"/>
        <w:gridCol w:w="4970"/>
      </w:tblGrid>
      <w:tr>
        <w:trPr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Archivo CSV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Filas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Col.</w:t>
            </w:r>
          </w:p>
        </w:tc>
        <w:tc>
          <w:tcPr>
            <w:tcW w:type="dxa" w:w="4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Una fila representa…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olist_orders_dataset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99 441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</w:t>
            </w:r>
          </w:p>
        </w:tc>
        <w:tc>
          <w:tcPr>
            <w:tcW w:type="dxa" w:w="4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Un pedido de un cliente, con su estado y las 5 fechas del ciclo (compra, aprobación, envío, entrega, entrega estimada).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olist_order_items_dataset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112 650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</w:t>
            </w:r>
          </w:p>
        </w:tc>
        <w:tc>
          <w:tcPr>
            <w:tcW w:type="dxa" w:w="4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Un ítem de producto dentro de un pedido (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order_item_id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= 1, 2, 3…). El 90 % de los pedidos tiene un solo ítem; el máximo es 21.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olist_order_payments_dataset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103 886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</w:t>
            </w:r>
          </w:p>
        </w:tc>
        <w:tc>
          <w:tcPr>
            <w:tcW w:type="dxa" w:w="4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Un pago aplicado a un pedido; un pedido puede combinar métodos (tarjeta + voucher).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olist_order_reviews_dataset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99 224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</w:t>
            </w:r>
          </w:p>
        </w:tc>
        <w:tc>
          <w:tcPr>
            <w:tcW w:type="dxa" w:w="4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La reseña (1–5) que el cliente dejó sobre un pedido.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olist_customers_dataset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99 441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</w:t>
            </w:r>
          </w:p>
        </w:tc>
        <w:tc>
          <w:tcPr>
            <w:tcW w:type="dxa" w:w="4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Un cliente asociado a un pedido.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customer_id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cambia en cada compra; la persona real es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customer_unique_id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olist_sellers_dataset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3 095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</w:t>
            </w:r>
          </w:p>
        </w:tc>
        <w:tc>
          <w:tcPr>
            <w:tcW w:type="dxa" w:w="4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Un vendedor, con su código postal, ciudad y estado.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olist_products_dataset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32 951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</w:t>
            </w:r>
          </w:p>
        </w:tc>
        <w:tc>
          <w:tcPr>
            <w:tcW w:type="dxa" w:w="4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Un producto, con categoría (portugués), medidas, peso y número de fotos.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olist_geolocation_dataset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1 000 163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</w:t>
            </w:r>
          </w:p>
        </w:tc>
        <w:tc>
          <w:tcPr>
            <w:tcW w:type="dxa" w:w="4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Una coordenada (lat/long) asociada a un prefijo postal; hay varias por prefijo.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product_category_name_translation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71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4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La traducción de una categoría del portugués al inglés.</w:t>
            </w:r>
          </w:p>
        </w:tc>
      </w:tr>
    </w:tbl>
    <w:p>
      <w:pPr>
        <w:spacing w:after="200" w:before="60"/>
      </w:pPr>
      <w:r>
        <w:rPr>
          <w:rFonts w:ascii="Times New Roman" w:cs="Times New Roman" w:eastAsia="Times New Roman" w:hAnsi="Times New Roman"/>
          <w:i/>
          <w:iCs/>
          <w:color w:val="404040"/>
          <w:sz w:val="18"/>
          <w:szCs w:val="18"/>
        </w:rPr>
        <w:t xml:space="preserve">Tabla 3. Archivos del dataset y significado de una fila.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Fila base del proyecto:</w:t>
      </w:r>
      <w:r>
        <w:rPr>
          <w:rFonts w:ascii="Times New Roman" w:cs="Times New Roman" w:eastAsia="Times New Roman" w:hAnsi="Times New Roman"/>
        </w:rPr>
        <w:t xml:space="preserve"> una línea de producto vendida dentro de un pedido (order item), enriquecida con los datos del pedido, cliente, producto, vendedor, pago y reseña. Es el nivel de detalle más fino disponible para analizar ventas y determina el grano de la tabla de hechos.</w:t>
      </w:r>
    </w:p>
    <w:p>
      <w:pPr>
        <w:pStyle w:val="Heading2"/>
      </w:pPr>
      <w:r>
        <w:t xml:space="preserve">2.3 Variables principales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500"/>
        <w:gridCol w:w="4070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Variables</w:t>
            </w:r>
          </w:p>
        </w:tc>
        <w:tc>
          <w:tcPr>
            <w:tcW w:type="dxa" w:w="4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Observaciones del perfilado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Identificadores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order_id, customer_id, customer_unique_id, product_id, seller_id, review_id, *_zip_code_prefix</w:t>
            </w:r>
          </w:p>
        </w:tc>
        <w:tc>
          <w:tcPr>
            <w:tcW w:type="dxa" w:w="4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Hash de 32 caracteres; sirven para unir tablas. El código postal es un identificador aunque llegue como número.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Numéricas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price, freight_value, payment_value, payment_installments, product_weight_g, medidas del producto</w:t>
            </w:r>
          </w:p>
        </w:tc>
        <w:tc>
          <w:tcPr>
            <w:tcW w:type="dxa" w:w="4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Precio: mediana R$ 74,99, máximo R$ 6 735 (distribución sesgada). Flete promedio R$ 20,03. Cuotas: 0 a 24.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Categóricas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product_category_name (73), payment_type (5), customer_state / seller_state (27), ciudades</w:t>
            </w:r>
          </w:p>
        </w:tc>
        <w:tc>
          <w:tcPr>
            <w:tcW w:type="dxa" w:w="4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Tarjeta de crédito 74 % de los pagos, boleto 19 %. São Paulo concentra el 42 % de los clientes.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Temporales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order_purchase_timestamp, order_approved_at, order_delivered_carrier_date, order_delivered_customer_date, order_estimated_delivery_date</w:t>
            </w:r>
          </w:p>
        </w:tc>
        <w:tc>
          <w:tcPr>
            <w:tcW w:type="dxa" w:w="4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Llegan como texto. Permiten derivar días de entrega y días de retraso.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Estados / resultados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order_status (8 valores), review_score (1–5)</w:t>
            </w:r>
          </w:p>
        </w:tc>
        <w:tc>
          <w:tcPr>
            <w:tcW w:type="dxa" w:w="4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96 478 pedidos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delivered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(97 %). 58 % de reseñas con 5 estrellas y 11,5 % con 1 estrella.</w:t>
            </w:r>
          </w:p>
        </w:tc>
      </w:tr>
    </w:tbl>
    <w:p>
      <w:pPr>
        <w:spacing w:after="200" w:before="60"/>
      </w:pPr>
      <w:r>
        <w:rPr>
          <w:rFonts w:ascii="Times New Roman" w:cs="Times New Roman" w:eastAsia="Times New Roman" w:hAnsi="Times New Roman"/>
          <w:i/>
          <w:iCs/>
          <w:color w:val="404040"/>
          <w:sz w:val="18"/>
          <w:szCs w:val="18"/>
        </w:rPr>
        <w:t xml:space="preserve">Tabla 4. Variables principales y hallazgos del perfilado (</w:t>
      </w:r>
      <w:r>
        <w:rPr>
          <w:rFonts w:ascii="Consolas" w:cs="Consolas" w:eastAsia="Consolas" w:hAnsi="Consolas"/>
          <w:color w:val="8B1A1A"/>
          <w:sz w:val="16"/>
          <w:szCs w:val="16"/>
        </w:rPr>
        <w:t xml:space="preserve">reports/perfilado.md</w:t>
      </w:r>
      <w:r>
        <w:rPr>
          <w:rFonts w:ascii="Times New Roman" w:cs="Times New Roman" w:eastAsia="Times New Roman" w:hAnsi="Times New Roman"/>
          <w:i/>
          <w:iCs/>
          <w:color w:val="404040"/>
          <w:sz w:val="18"/>
          <w:szCs w:val="18"/>
        </w:rPr>
        <w:t xml:space="preserve">).</w:t>
      </w:r>
    </w:p>
    <w:p>
      <w:pPr>
        <w:pStyle w:val="Heading2"/>
      </w:pPr>
      <w:r>
        <w:t xml:space="preserve">2.4 Problemas de calidad identificados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</w:rPr>
        <w:t xml:space="preserve">El perfilado automatizado (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etl/01_perfilado.py</w:t>
      </w:r>
      <w:r>
        <w:rPr>
          <w:rFonts w:ascii="Times New Roman" w:cs="Times New Roman" w:eastAsia="Times New Roman" w:hAnsi="Times New Roman"/>
        </w:rPr>
        <w:t xml:space="preserve">) confirmó los hallazgos del Entregable 1: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Nulos:</w:t>
      </w:r>
      <w:r>
        <w:rPr>
          <w:rFonts w:ascii="Times New Roman" w:cs="Times New Roman" w:eastAsia="Times New Roman" w:hAnsi="Times New Roman"/>
        </w:rPr>
        <w:t xml:space="preserve"> 160 pedidos sin fecha de aprobación, 1 783 sin fecha de envío y 2 965 sin fecha de entrega; 8 pedidos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delivered</w:t>
      </w:r>
      <w:r>
        <w:rPr>
          <w:rFonts w:ascii="Times New Roman" w:cs="Times New Roman" w:eastAsia="Times New Roman" w:hAnsi="Times New Roman"/>
        </w:rPr>
        <w:t xml:space="preserve"> sin fecha de entrega; 610 productos sin categoría; 88 % de reseñas sin título y 59 % sin comentario.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Duplicados:</w:t>
      </w:r>
      <w:r>
        <w:rPr>
          <w:rFonts w:ascii="Times New Roman" w:cs="Times New Roman" w:eastAsia="Times New Roman" w:hAnsi="Times New Roman"/>
        </w:rPr>
        <w:t xml:space="preserve"> 261 831 filas idénticas en geolocalización (26 %); 814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review_id</w:t>
      </w:r>
      <w:r>
        <w:rPr>
          <w:rFonts w:ascii="Times New Roman" w:cs="Times New Roman" w:eastAsia="Times New Roman" w:hAnsi="Times New Roman"/>
        </w:rPr>
        <w:t xml:space="preserve"> repetidos y 551 pedidos con más de una reseña.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Tipos incorrectos:</w:t>
      </w:r>
      <w:r>
        <w:rPr>
          <w:rFonts w:ascii="Times New Roman" w:cs="Times New Roman" w:eastAsia="Times New Roman" w:hAnsi="Times New Roman"/>
        </w:rPr>
        <w:t xml:space="preserve"> las 8 columnas de fecha llegan como texto; los códigos postales como número (pierden los ceros a la izquierda); medidas de producto como decimales.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Valores atípicos:</w:t>
      </w:r>
      <w:r>
        <w:rPr>
          <w:rFonts w:ascii="Times New Roman" w:cs="Times New Roman" w:eastAsia="Times New Roman" w:hAnsi="Times New Roman"/>
        </w:rPr>
        <w:t xml:space="preserve"> 8 427 ítems sobre el límite IQR de precio (R$ 277,40); 383 ítems con flete 0; 2 pagos con 0 cuotas; 4 productos con peso 0 g; 1 359 pedidos entregados a la transportista antes de ser aprobados.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Categorías inconsistentes:</w:t>
      </w:r>
      <w:r>
        <w:rPr>
          <w:rFonts w:ascii="Times New Roman" w:cs="Times New Roman" w:eastAsia="Times New Roman" w:hAnsi="Times New Roman"/>
        </w:rPr>
        <w:t xml:space="preserve"> la misma ciudad escrita de varias formas (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são paulo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sao paulo - sp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sao paulo / sao paulo</w:t>
      </w:r>
      <w:r>
        <w:rPr>
          <w:rFonts w:ascii="Times New Roman" w:cs="Times New Roman" w:eastAsia="Times New Roman" w:hAnsi="Times New Roman"/>
        </w:rPr>
        <w:t xml:space="preserve">); ciudades inválidas en vendedores (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04482255</w:t>
      </w:r>
      <w:r>
        <w:rPr>
          <w:rFonts w:ascii="Times New Roman" w:cs="Times New Roman" w:eastAsia="Times New Roman" w:hAnsi="Times New Roman"/>
        </w:rPr>
        <w:t xml:space="preserve">, un correo electrónico,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sp</w:t>
      </w:r>
      <w:r>
        <w:rPr>
          <w:rFonts w:ascii="Times New Roman" w:cs="Times New Roman" w:eastAsia="Times New Roman" w:hAnsi="Times New Roman"/>
        </w:rPr>
        <w:t xml:space="preserve">); 2 categorías sin traducción; columnas mal escritas (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product_name_lenght</w:t>
      </w:r>
      <w:r>
        <w:rPr>
          <w:rFonts w:ascii="Times New Roman" w:cs="Times New Roman" w:eastAsia="Times New Roman" w:hAnsi="Times New Roman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Meses incompletos:</w:t>
      </w:r>
      <w:r>
        <w:rPr>
          <w:rFonts w:ascii="Times New Roman" w:cs="Times New Roman" w:eastAsia="Times New Roman" w:hAnsi="Times New Roman"/>
        </w:rPr>
        <w:t xml:space="preserve"> sep-2016 (4 pedidos), oct-2016 (324), nov-2016 (0), dic-2016 (1), sep-2018 (16) y oct-2018 (4).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Integridad entre tablas:</w:t>
      </w:r>
      <w:r>
        <w:rPr>
          <w:rFonts w:ascii="Times New Roman" w:cs="Times New Roman" w:eastAsia="Times New Roman" w:hAnsi="Times New Roman"/>
        </w:rPr>
        <w:t xml:space="preserve"> 775 pedidos sin ítems (739 dentro del período analizado) y 1 pedido sin pago (de 2016, fuera del período).</w:t>
      </w:r>
    </w:p>
    <w:p>
      <w:pPr>
        <w:pStyle w:val="Heading2"/>
      </w:pPr>
      <w:r>
        <w:t xml:space="preserve">2.5 Justificación de la selección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</w:rPr>
        <w:t xml:space="preserve">El dataset es multitabla y relacional, por lo que obliga a integrar fuentes como en un proceso ETL real; tiene un proceso de negocio claro (la venta) con dimensiones evidentes; permite analizar cuatro áreas del negocio (ventas, logística, satisfacción y pagos); ofrece casi 100 000 pedidos en 20 meses consistentes, suficientes para observar tendencia y estacionalidad; y presenta problemas de calidad reales que justifican la etapa de limpieza.</w:t>
      </w:r>
    </w:p>
    <w:p>
      <w:pPr>
        <w:pStyle w:val="Heading2"/>
      </w:pPr>
      <w:r>
        <w:t xml:space="preserve">2.6 Problema o necesidad de análisis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</w:rPr>
        <w:t xml:space="preserve">Olist necesita conocer </w:t>
      </w:r>
      <w:r>
        <w:rPr>
          <w:rFonts w:ascii="Times New Roman" w:cs="Times New Roman" w:eastAsia="Times New Roman" w:hAnsi="Times New Roman"/>
          <w:b/>
          <w:bCs/>
        </w:rPr>
        <w:t xml:space="preserve">cuánto vende, dónde y en qué categorías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Times New Roman" w:cs="Times New Roman" w:eastAsia="Times New Roman" w:hAnsi="Times New Roman"/>
          <w:b/>
          <w:bCs/>
        </w:rPr>
        <w:t xml:space="preserve">qué tan puntuales son sus entregas</w:t>
      </w:r>
      <w:r>
        <w:rPr>
          <w:rFonts w:ascii="Times New Roman" w:cs="Times New Roman" w:eastAsia="Times New Roman" w:hAnsi="Times New Roman"/>
        </w:rPr>
        <w:t xml:space="preserve"> y </w:t>
      </w:r>
      <w:r>
        <w:rPr>
          <w:rFonts w:ascii="Times New Roman" w:cs="Times New Roman" w:eastAsia="Times New Roman" w:hAnsi="Times New Roman"/>
          <w:b/>
          <w:bCs/>
        </w:rPr>
        <w:t xml:space="preserve">cuánto le cuesta la impuntualidad en satisfacción del cliente</w:t>
      </w:r>
      <w:r>
        <w:rPr>
          <w:rFonts w:ascii="Times New Roman" w:cs="Times New Roman" w:eastAsia="Times New Roman" w:hAnsi="Times New Roman"/>
        </w:rPr>
        <w:t xml:space="preserve">, para dirigir la inversión comercial y corregir la operación logística donde más impacto tiene. Hoy esa información está dispersa en 9 archivos sin un modelo común ni indicadores definidos.</w:t>
      </w:r>
    </w:p>
    <w:p>
      <w:pPr>
        <w:pStyle w:val="Heading2"/>
      </w:pPr>
      <w:r>
        <w:t xml:space="preserve">2.7 Usuarios potenciales y decisiones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3000"/>
        <w:gridCol w:w="3770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Usuario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Qué necesita ver</w:t>
            </w:r>
          </w:p>
        </w:tc>
        <w:tc>
          <w:tcPr>
            <w:tcW w:type="dxa" w:w="3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Decisiones que apoya la solución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Gerencia general / dirección comercial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Ingreso, crecimiento, ticket, categorías y estados líderes.</w:t>
            </w:r>
          </w:p>
        </w:tc>
        <w:tc>
          <w:tcPr>
            <w:tcW w:type="dxa" w:w="3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En qué categorías invertir; reforzar campañas en meses pico; priorizar regiones con potencial.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Jefe de logística / operaciones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% de entregas a tiempo, tiempo de entrega y retrasos por estado y mes.</w:t>
            </w:r>
          </w:p>
        </w:tc>
        <w:tc>
          <w:tcPr>
            <w:tcW w:type="dxa" w:w="3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Renegociar o cambiar transportistas en estados críticos; reforzar capacidad antes de los picos; ajustar las fechas estimadas.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Gestión de vendedores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Ventas, % de retraso y CSAT por vendedor.</w:t>
            </w:r>
          </w:p>
        </w:tc>
        <w:tc>
          <w:tcPr>
            <w:tcW w:type="dxa" w:w="3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Capacitar, advertir o suspender vendedores con muchos retrasos; reconocer a los mejores.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Servicio al cliente / experiencia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CSAT, % de reseñas negativas y su relación con el retraso.</w:t>
            </w:r>
          </w:p>
        </w:tc>
        <w:tc>
          <w:tcPr>
            <w:tcW w:type="dxa" w:w="3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Contactar proactivamente a clientes con pedidos retrasados; ofrecer cupones de compensación.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Finanzas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Medios de pago, cuotas y ticket asociado.</w:t>
            </w:r>
          </w:p>
        </w:tc>
        <w:tc>
          <w:tcPr>
            <w:tcW w:type="dxa" w:w="3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Definir promociones de cuotas sin interés o descuentos por pago con boleto.</w:t>
            </w:r>
          </w:p>
        </w:tc>
      </w:tr>
    </w:tbl>
    <w:p>
      <w:pPr>
        <w:spacing w:after="200" w:before="60"/>
      </w:pPr>
      <w:r>
        <w:rPr>
          <w:rFonts w:ascii="Times New Roman" w:cs="Times New Roman" w:eastAsia="Times New Roman" w:hAnsi="Times New Roman"/>
          <w:i/>
          <w:iCs/>
          <w:color w:val="404040"/>
          <w:sz w:val="18"/>
          <w:szCs w:val="18"/>
        </w:rPr>
        <w:t xml:space="preserve">Tabla 5. Usuarios de la información y decisiones.</w:t>
      </w:r>
    </w:p>
    <w:p>
      <w:pPr>
        <w:pStyle w:val="Heading1"/>
      </w:pPr>
      <w:r>
        <w:t xml:space="preserve">3. Preguntas de negocio e indicadores</w:t>
      </w:r>
    </w:p>
    <w:p>
      <w:pPr>
        <w:pStyle w:val="Heading2"/>
      </w:pPr>
      <w:r>
        <w:t xml:space="preserve">3.1 Preguntas de negocio</w:t>
      </w:r>
    </w:p>
    <w:p>
      <w:pPr>
        <w:pStyle w:val="ListParagraph"/>
        <w:numPr>
          <w:ilvl w:val="0"/>
          <w:numId w:val="3"/>
        </w:numPr>
        <w:spacing w:after="60" w:line="29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P1.</w:t>
      </w:r>
      <w:r>
        <w:rPr>
          <w:rFonts w:ascii="Times New Roman" w:cs="Times New Roman" w:eastAsia="Times New Roman" w:hAnsi="Times New Roman"/>
        </w:rPr>
        <w:t xml:space="preserve"> ¿Cómo evolucionan las ventas en el tiempo y qué categorías de productos y estados de Brasil generan más ingresos?</w:t>
      </w:r>
    </w:p>
    <w:p>
      <w:pPr>
        <w:pStyle w:val="ListParagraph"/>
        <w:numPr>
          <w:ilvl w:val="0"/>
          <w:numId w:val="3"/>
        </w:numPr>
        <w:spacing w:after="60" w:line="29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P2.</w:t>
      </w:r>
      <w:r>
        <w:rPr>
          <w:rFonts w:ascii="Times New Roman" w:cs="Times New Roman" w:eastAsia="Times New Roman" w:hAnsi="Times New Roman"/>
        </w:rPr>
        <w:t xml:space="preserve"> ¿Qué porcentaje de pedidos se entrega a tiempo y en qué estados o vendedores se concentran los retrasos?</w:t>
      </w:r>
    </w:p>
    <w:p>
      <w:pPr>
        <w:pStyle w:val="ListParagraph"/>
        <w:numPr>
          <w:ilvl w:val="0"/>
          <w:numId w:val="3"/>
        </w:numPr>
        <w:spacing w:after="60" w:line="29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P3.</w:t>
      </w:r>
      <w:r>
        <w:rPr>
          <w:rFonts w:ascii="Times New Roman" w:cs="Times New Roman" w:eastAsia="Times New Roman" w:hAnsi="Times New Roman"/>
        </w:rPr>
        <w:t xml:space="preserve"> ¿Influyen los retrasos en la entrega en la satisfacción del cliente (puntuación de las reseñas)?</w:t>
      </w:r>
    </w:p>
    <w:p>
      <w:pPr>
        <w:pStyle w:val="ListParagraph"/>
        <w:numPr>
          <w:ilvl w:val="0"/>
          <w:numId w:val="3"/>
        </w:numPr>
        <w:spacing w:after="60" w:line="29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P4 (complementaria).</w:t>
      </w:r>
      <w:r>
        <w:rPr>
          <w:rFonts w:ascii="Times New Roman" w:cs="Times New Roman" w:eastAsia="Times New Roman" w:hAnsi="Times New Roman"/>
        </w:rPr>
        <w:t xml:space="preserve"> ¿Qué medios de pago y cuántas cuotas prefieren los clientes según el valor del pedido?</w:t>
      </w:r>
    </w:p>
    <w:p>
      <w:pPr>
        <w:pStyle w:val="Heading2"/>
      </w:pPr>
      <w:r>
        <w:t xml:space="preserve">3.2 KPI definidos sobre el modelo dimensional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</w:rPr>
        <w:t xml:space="preserve">Todos los KPI se calculan sobre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dw.fact_ventas</w:t>
      </w:r>
      <w:r>
        <w:rPr>
          <w:rFonts w:ascii="Times New Roman" w:cs="Times New Roman" w:eastAsia="Times New Roman" w:hAnsi="Times New Roman"/>
        </w:rPr>
        <w:t xml:space="preserve"> y sus dimensiones mediante la función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dw.fn_kpis()</w:t>
      </w:r>
      <w:r>
        <w:rPr>
          <w:rFonts w:ascii="Times New Roman" w:cs="Times New Roman" w:eastAsia="Times New Roman" w:hAnsi="Times New Roman"/>
        </w:rPr>
        <w:t xml:space="preserve">, excluyendo los pedidos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canceled</w:t>
      </w:r>
      <w:r>
        <w:rPr>
          <w:rFonts w:ascii="Times New Roman" w:cs="Times New Roman" w:eastAsia="Times New Roman" w:hAnsi="Times New Roman"/>
        </w:rPr>
        <w:t xml:space="preserve"> y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unavailable</w:t>
      </w:r>
      <w:r>
        <w:rPr>
          <w:rFonts w:ascii="Times New Roman" w:cs="Times New Roman" w:eastAsia="Times New Roman" w:hAnsi="Times New Roman"/>
        </w:rPr>
        <w:t xml:space="preserve">. Los indicadores de nivel pedido se calculan sobre una fila por pedido para no sobrecontar los pedidos con varios ítems.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3970"/>
        <w:gridCol w:w="700"/>
        <w:gridCol w:w="1900"/>
      </w:tblGrid>
      <w:tr>
        <w:trPr>
          <w:tblHeader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3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Fórmula sobre el modelo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Preg.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Valor final*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1. Ingreso total (GMV)</w:t>
            </w:r>
          </w:p>
        </w:tc>
        <w:tc>
          <w:tcPr>
            <w:tcW w:type="dxa" w:w="3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SUM(precio)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P1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R$ 13 449 529,68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2. Ticket promedio</w:t>
            </w:r>
          </w:p>
        </w:tc>
        <w:tc>
          <w:tcPr>
            <w:tcW w:type="dxa" w:w="3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SUM(valor_total) / COUNT(DISTINCT order_id)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P1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R$ 160,19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3. % entregas a tiempo (OTD)</w:t>
            </w:r>
          </w:p>
        </w:tc>
        <w:tc>
          <w:tcPr>
            <w:tcW w:type="dxa" w:w="3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100 × AVG(flag_a_tiempo), una fila por pedido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P2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93,2 %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4. Tiempo promedio de entrega</w:t>
            </w:r>
          </w:p>
        </w:tc>
        <w:tc>
          <w:tcPr>
            <w:tcW w:type="dxa" w:w="3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AVG(dias_entrega), una fila por pedido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P2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12,5 días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5. Satisfacción promedio (CSAT)</w:t>
            </w:r>
          </w:p>
        </w:tc>
        <w:tc>
          <w:tcPr>
            <w:tcW w:type="dxa" w:w="3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AVG(review_score), una fila por pedido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P3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highlight w:val="yellow"/>
              </w:rPr>
              <w:t xml:space="preserve">4,12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/ 5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6. % reseñas negativas</w:t>
            </w:r>
          </w:p>
        </w:tc>
        <w:tc>
          <w:tcPr>
            <w:tcW w:type="dxa" w:w="3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100 × COUNT(review_score ≤ 2) / COUNT(review_score)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P3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highlight w:val="yellow"/>
              </w:rPr>
              <w:t xml:space="preserve">14,2 %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Contexto: pedidos válidos</w:t>
            </w:r>
          </w:p>
        </w:tc>
        <w:tc>
          <w:tcPr>
            <w:tcW w:type="dxa" w:w="3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COUNT(DISTINCT order_id)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P1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97 905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Contexto: flete total</w:t>
            </w:r>
          </w:p>
        </w:tc>
        <w:tc>
          <w:tcPr>
            <w:tcW w:type="dxa" w:w="3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SUM(valor_flete)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P1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R$ 2 234 177,06</w:t>
            </w:r>
          </w:p>
        </w:tc>
      </w:tr>
    </w:tbl>
    <w:p>
      <w:pPr>
        <w:spacing w:after="200" w:before="60"/>
      </w:pPr>
      <w:r>
        <w:rPr>
          <w:rFonts w:ascii="Times New Roman" w:cs="Times New Roman" w:eastAsia="Times New Roman" w:hAnsi="Times New Roman"/>
          <w:i/>
          <w:iCs/>
          <w:color w:val="404040"/>
          <w:sz w:val="18"/>
          <w:szCs w:val="18"/>
        </w:rPr>
        <w:t xml:space="preserve">Tabla 6. KPI implementados. *Sin filtros: 01/01/2017–31/08/2018, pedidos no cancelados. Fuente: </w:t>
      </w:r>
      <w:r>
        <w:rPr>
          <w:rFonts w:ascii="Consolas" w:cs="Consolas" w:eastAsia="Consolas" w:hAnsi="Consolas"/>
          <w:color w:val="8B1A1A"/>
          <w:sz w:val="16"/>
          <w:szCs w:val="16"/>
        </w:rPr>
        <w:t xml:space="preserve">SELECT * FROM dw.fn_kpis();</w:t>
      </w:r>
    </w:p>
    <w:p>
      <w:pPr>
        <w:pStyle w:val="Heading2"/>
      </w:pPr>
      <w:r>
        <w:t xml:space="preserve">3.3 Conciliación con los valores preliminares del Entregable 1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</w:rPr>
        <w:t xml:space="preserve">El Entregable 1 presentó valores exploratorios sin limpieza. La Tabla 7 explica cada diferencia; ninguna se debe a un error de carga, sino a reglas de cálculo explícitas: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1350"/>
        <w:gridCol w:w="1350"/>
        <w:gridCol w:w="4570"/>
      </w:tblGrid>
      <w:tr>
        <w:trPr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E1 (preliminar)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E3 (final)</w:t>
            </w:r>
          </w:p>
        </w:tc>
        <w:tc>
          <w:tcPr>
            <w:tcW w:type="dxa" w:w="4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Explicación de la diferencia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Ingreso en productos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≈ R$ 13,6 M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R$ 13,45 M</w:t>
            </w:r>
          </w:p>
        </w:tc>
        <w:tc>
          <w:tcPr>
            <w:tcW w:type="dxa" w:w="4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E3 limita a ene-2017–ago-2018 y excluye pedidos cancelados/no disponibles (R$ 13 541 712,78 antes de excluirlos).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Ticket promedio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R$ 160,99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R$ 160,19</w:t>
            </w:r>
          </w:p>
        </w:tc>
        <w:tc>
          <w:tcPr>
            <w:tcW w:type="dxa" w:w="4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Mismo criterio de período y exclusión de cancelados.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% entregas a tiempo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≈ 91,9 %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93,2 %</w:t>
            </w:r>
          </w:p>
        </w:tc>
        <w:tc>
          <w:tcPr>
            <w:tcW w:type="dxa" w:w="4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E1 comparaba fecha y hora; la fecha estimada no tiene hora (00:00:00), por lo que 1 291 pedidos entregados el mismo día estimado se contaban como retrasados. E3 compara fechas de calendario.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CSAT con retraso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2,57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2,27</w:t>
            </w:r>
          </w:p>
        </w:tc>
        <w:tc>
          <w:tcPr>
            <w:tcW w:type="dxa" w:w="4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Mismo efecto: los 1 291 pedidos «del mismo día», con reseñas altas, ya no se mezclan con los retrasados reales.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Tiempo de entrega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12,1 días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12,5 días</w:t>
            </w:r>
          </w:p>
        </w:tc>
        <w:tc>
          <w:tcPr>
            <w:tcW w:type="dxa" w:w="4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E3 cuenta días de calendario y solo pedidos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delivered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del período.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Tasa de cancelación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≈ 1,2 %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 se usa como KPI</w:t>
            </w:r>
          </w:p>
        </w:tc>
        <w:tc>
          <w:tcPr>
            <w:tcW w:type="dxa" w:w="4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El 62 % de los pedidos cancelados o no disponibles del período (734 de 1 182) no tiene ítems y no puede existir en una tabla de hechos con grano de ítem. Se sustituye por el % de reseñas negativas y el tiempo de entrega; los pedidos sin ítems se controlan en la validación 2c.</w:t>
            </w:r>
          </w:p>
        </w:tc>
      </w:tr>
    </w:tbl>
    <w:p>
      <w:pPr>
        <w:spacing w:after="200" w:before="60"/>
      </w:pPr>
      <w:r>
        <w:rPr>
          <w:rFonts w:ascii="Times New Roman" w:cs="Times New Roman" w:eastAsia="Times New Roman" w:hAnsi="Times New Roman"/>
          <w:i/>
          <w:iCs/>
          <w:color w:val="404040"/>
          <w:sz w:val="18"/>
          <w:szCs w:val="18"/>
        </w:rPr>
        <w:t xml:space="preserve">Tabla 7. Conciliación de indicadores E1 → E3.</w:t>
      </w:r>
    </w:p>
    <w:p>
      <w:pPr>
        <w:pStyle w:val="Heading1"/>
      </w:pPr>
      <w:r>
        <w:t xml:space="preserve">4. Limpieza y transformación de datos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</w:rPr>
        <w:t xml:space="preserve">La limpieza se implementó en Python con pandas en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etl/02_limpieza.py</w:t>
      </w:r>
      <w:r>
        <w:rPr>
          <w:rFonts w:ascii="Times New Roman" w:cs="Times New Roman" w:eastAsia="Times New Roman" w:hAnsi="Times New Roman"/>
        </w:rPr>
        <w:t xml:space="preserve">. Cada tratamiento responde a un problema identificado en la sección 2.4. El script escribe un CSV limpio por tabla en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data/clean/</w:t>
      </w:r>
      <w:r>
        <w:rPr>
          <w:rFonts w:ascii="Times New Roman" w:cs="Times New Roman" w:eastAsia="Times New Roman" w:hAnsi="Times New Roman"/>
        </w:rPr>
        <w:t xml:space="preserve"> y la bitácora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reports/bitacora_limpieza.csv</w:t>
      </w:r>
      <w:r>
        <w:rPr>
          <w:rFonts w:ascii="Times New Roman" w:cs="Times New Roman" w:eastAsia="Times New Roman" w:hAnsi="Times New Roman"/>
        </w:rPr>
        <w:t xml:space="preserve">, que se carga en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staging.etl_log</w:t>
      </w:r>
      <w:r>
        <w:rPr>
          <w:rFonts w:ascii="Times New Roman" w:cs="Times New Roman" w:eastAsia="Times New Roman" w:hAnsi="Times New Roman"/>
        </w:rPr>
        <w:t xml:space="preserve">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2500"/>
        <w:gridCol w:w="4670"/>
      </w:tblGrid>
      <w:tr>
        <w:trPr>
          <w:tblHeader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Tratamiento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46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Acción aplicada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Valores nulos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Fechas faltantes; productos sin categoría; peso 0.</w:t>
            </w:r>
          </w:p>
        </w:tc>
        <w:tc>
          <w:tcPr>
            <w:tcW w:type="dxa" w:w="46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 conservan los nulos lógicos de fechas (pedidos no entregados). Categoría nula →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sin_categoria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. Peso 0 g → nulo. Medidas de entrega solo para pedidos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delivered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Duplicados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Reseñas múltiples por pedido; geolocalización repetida.</w:t>
            </w:r>
          </w:p>
        </w:tc>
        <w:tc>
          <w:tcPr>
            <w:tcW w:type="dxa" w:w="46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Una reseña por pedido: la más reciente (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review_creation_date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review_answer_timestamp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). Geolocalización deduplicada y resumida a 19 015 prefijos postales.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Tipos de datos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Fechas como texto; códigos postales numéricos; medidas decimales.</w:t>
            </w:r>
          </w:p>
        </w:tc>
        <w:tc>
          <w:tcPr>
            <w:tcW w:type="dxa" w:w="46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pd.to_datetime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en las 8 fechas; código postal a texto de 5 dígitos con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zfill(5)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; medidas a entero (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Int64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Estandarización de fechas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Fecha estimada sin hora.</w:t>
            </w:r>
          </w:p>
        </w:tc>
        <w:tc>
          <w:tcPr>
            <w:tcW w:type="dxa" w:w="46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En la tabla de hechos todas las fechas se comparan como DATE (sección 3.3).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Estandarización de categorías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Ciudades en múltiples formas; estado y tipos de pago con mayúsculas variables.</w:t>
            </w:r>
          </w:p>
        </w:tc>
        <w:tc>
          <w:tcPr>
            <w:tcW w:type="dxa" w:w="46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Ciudades: minúsculas, sin tildes, sin sufijos (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- sp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/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,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, sigla final). Ciudades inválidas imputadas por prefijo postal. 2 traducciones de categoría completadas.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Valores fuera de rango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Precios altos; flete 0; 0 cuotas; fechas incoherentes.</w:t>
            </w:r>
          </w:p>
        </w:tc>
        <w:tc>
          <w:tcPr>
            <w:tcW w:type="dxa" w:w="46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Precios altos y flete 0 se conservan (ventas reales). 0 cuotas → 1. Bandera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flag_fechas_incoherentes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para 1 359 pedidos (se marcan, no se eliminan). Restricciones CHECK en la base.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Columnas irrelevantes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Texto libre y metadatos sin uso analítico.</w:t>
            </w:r>
          </w:p>
        </w:tc>
        <w:tc>
          <w:tcPr>
            <w:tcW w:type="dxa" w:w="46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 eliminan títulos y comentarios de reseñas,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shipping_limit_date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product_name_lenght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product_description_lenght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product_photos_qty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Variables derivadas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Medidas necesarias para los KPI.</w:t>
            </w:r>
          </w:p>
        </w:tc>
        <w:tc>
          <w:tcPr>
            <w:tcW w:type="dxa" w:w="46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valor_total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dias_entrega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dias_retraso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flag_a_tiempo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volumen_cm3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region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es_fin_semana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, rango de cuotas y pago principal.</w:t>
            </w:r>
          </w:p>
        </w:tc>
      </w:tr>
    </w:tbl>
    <w:p>
      <w:pPr>
        <w:spacing w:after="200" w:before="60"/>
      </w:pPr>
      <w:r>
        <w:rPr>
          <w:rFonts w:ascii="Times New Roman" w:cs="Times New Roman" w:eastAsia="Times New Roman" w:hAnsi="Times New Roman"/>
          <w:i/>
          <w:iCs/>
          <w:color w:val="404040"/>
          <w:sz w:val="18"/>
          <w:szCs w:val="18"/>
        </w:rPr>
        <w:t xml:space="preserve">Tabla 8. Tratamientos de limpieza y transformación.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Bitácora del ETL (coherencia origen → carga).</w:t>
      </w:r>
      <w:r>
        <w:rPr>
          <w:rFonts w:ascii="Times New Roman" w:cs="Times New Roman" w:eastAsia="Times New Roman" w:hAnsi="Times New Roman"/>
        </w:rPr>
        <w:t xml:space="preserve"> La Tabla 9 muestra las filas de cada archivo original y las cargadas en staging, generadas automáticamente en cada ejecución: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1300"/>
        <w:gridCol w:w="1400"/>
        <w:gridCol w:w="1150"/>
        <w:gridCol w:w="3120"/>
      </w:tblGrid>
      <w:tr>
        <w:trPr>
          <w:tblHeader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Filas origen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Filas limpias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Descartadas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orders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99 441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99 441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Solo cambios de tipo y bandera de fechas.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order_items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112 650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112 650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Sin duplicados por (order_id, order_item_id).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order_payments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103 886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103 886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 cuotas → 1.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order_reviews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99 224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highlight w:val="yellow"/>
              </w:rPr>
              <w:t xml:space="preserve">98 673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highlight w:val="yellow"/>
              </w:rPr>
              <w:t xml:space="preserve">551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 conserva una reseña por pedido (la más reciente).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customers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99 441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99 441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Normalización de ciudad y código postal.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sellers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3 095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3 095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611 → 581 ciudades distintas; 7 imputadas.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products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32 951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32 951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Categoría, medidas y peso.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category_translation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71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74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+3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 traducciones faltantes y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sin_categoria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geolocation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1 000 163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 (no se carga)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—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 usa solo para imputar ciudades inválidas.</w:t>
            </w:r>
          </w:p>
        </w:tc>
      </w:tr>
    </w:tbl>
    <w:p>
      <w:pPr>
        <w:spacing w:after="200" w:before="60"/>
      </w:pPr>
      <w:r>
        <w:rPr>
          <w:rFonts w:ascii="Times New Roman" w:cs="Times New Roman" w:eastAsia="Times New Roman" w:hAnsi="Times New Roman"/>
          <w:i/>
          <w:iCs/>
          <w:color w:val="404040"/>
          <w:sz w:val="18"/>
          <w:szCs w:val="18"/>
        </w:rPr>
        <w:t xml:space="preserve">Tabla 9. Bitácora </w:t>
      </w:r>
      <w:r>
        <w:rPr>
          <w:rFonts w:ascii="Consolas" w:cs="Consolas" w:eastAsia="Consolas" w:hAnsi="Consolas"/>
          <w:color w:val="8B1A1A"/>
          <w:sz w:val="16"/>
          <w:szCs w:val="16"/>
        </w:rPr>
        <w:t xml:space="preserve">staging.etl_log</w:t>
      </w:r>
      <w:r>
        <w:rPr>
          <w:rFonts w:ascii="Times New Roman" w:cs="Times New Roman" w:eastAsia="Times New Roman" w:hAnsi="Times New Roman"/>
          <w:i/>
          <w:iCs/>
          <w:color w:val="404040"/>
          <w:sz w:val="18"/>
          <w:szCs w:val="18"/>
        </w:rPr>
        <w:t xml:space="preserve">. Los valores resaltados dependen de la versión del archivo de reseñas descargada de Kaggle; se confirman en </w:t>
      </w:r>
      <w:r>
        <w:rPr>
          <w:rFonts w:ascii="Consolas" w:cs="Consolas" w:eastAsia="Consolas" w:hAnsi="Consolas"/>
          <w:color w:val="8B1A1A"/>
          <w:sz w:val="16"/>
          <w:szCs w:val="16"/>
        </w:rPr>
        <w:t xml:space="preserve">reports/validaciones.md</w:t>
      </w:r>
      <w:r>
        <w:rPr>
          <w:rFonts w:ascii="Times New Roman" w:cs="Times New Roman" w:eastAsia="Times New Roman" w:hAnsi="Times New Roman"/>
          <w:i/>
          <w:iCs/>
          <w:color w:val="404040"/>
          <w:sz w:val="18"/>
          <w:szCs w:val="18"/>
        </w:rPr>
        <w:t xml:space="preserve"> tras ejecutar el pipeline.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Extracto de etl/02_limpieza.py · normalización de ciudades</w:t>
      </w:r>
    </w:p>
    <w:p>
      <w:pPr>
        <w:pBdr>
          <w:left w:val="single" w:color="2A78D6" w:sz="12" w:space="6"/>
        </w:pBdr>
        <w:shd w:fill="F4F4F4" w:color="auto" w:val="clear"/>
        <w:spacing w:after="0" w:before="4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def normalizar_ciudad(serie: pd.Series) -&gt; pd.Series: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"""'São Paulo - SP', 'sao paulo / sao paulo', ' SAO  PAULO ' -&gt; 'sao paulo'."""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s = serie.fillna("").astype(str).str.lower().str.replace("´", "'").str.replace("`", "'")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s = s.map(sin_tildes)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s = s.str.split(r"\s+-\s+|/|\\|,", n=1, regex=True).str[0]  # quita sufijos de estado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s = s.str.replace(r"[^a-z' ]", " ", regex=True)              # deja solo letras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s = s.str.replace(r"\s+", " ", regex=True).str.strip()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s = s.str.replace(r"(?&lt;=\w) (ac|al|ap|am|ba|ce|df|es|go|ma|mt|ms|mg|pa|pb|pr|pe|pi|rj|rn|rs|ro|rr|sc|sp|se|to)$",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"", regex=True)                               # 'sao paulo sp' -&gt; 'sao paulo'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return s.replace("", np.nan)</w:t>
      </w:r>
    </w:p>
    <w:p>
      <w:pPr>
        <w:spacing w:after="160"/>
      </w:pPr>
    </w:p>
    <w:p>
      <w:pPr>
        <w:pStyle w:val="Heading1"/>
      </w:pPr>
      <w:r>
        <w:t xml:space="preserve">5. Modelo dimensional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</w:rPr>
        <w:t xml:space="preserve">Se implementó un </w:t>
      </w:r>
      <w:r>
        <w:rPr>
          <w:rFonts w:ascii="Times New Roman" w:cs="Times New Roman" w:eastAsia="Times New Roman" w:hAnsi="Times New Roman"/>
          <w:b/>
          <w:bCs/>
        </w:rPr>
        <w:t xml:space="preserve">modelo estrella</w:t>
      </w:r>
      <w:r>
        <w:rPr>
          <w:rFonts w:ascii="Times New Roman" w:cs="Times New Roman" w:eastAsia="Times New Roman" w:hAnsi="Times New Roman"/>
        </w:rPr>
        <w:t xml:space="preserve"> centrado en el proceso de negocio </w:t>
      </w:r>
      <w:r>
        <w:rPr>
          <w:rFonts w:ascii="Times New Roman" w:cs="Times New Roman" w:eastAsia="Times New Roman" w:hAnsi="Times New Roman"/>
          <w:b/>
          <w:bCs/>
        </w:rPr>
        <w:t xml:space="preserve">venta</w:t>
      </w:r>
      <w:r>
        <w:rPr>
          <w:rFonts w:ascii="Times New Roman" w:cs="Times New Roman" w:eastAsia="Times New Roman" w:hAnsi="Times New Roman"/>
        </w:rPr>
        <w:t xml:space="preserve">, con una tabla de hechos y seis dimensiones en el esquema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dw</w:t>
      </w:r>
      <w:r>
        <w:rPr>
          <w:rFonts w:ascii="Times New Roman" w:cs="Times New Roman" w:eastAsia="Times New Roman" w:hAnsi="Times New Roman"/>
        </w:rPr>
        <w:t xml:space="preserve"> de PostgreSQL 16 (Figura 2).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9147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404040"/>
          <w:sz w:val="19"/>
          <w:szCs w:val="19"/>
        </w:rPr>
        <w:t xml:space="preserve">Figura 2. Diagrama estrella del Data Mart (esquema dw).</w:t>
      </w:r>
    </w:p>
    <w:p>
      <w:pPr>
        <w:pStyle w:val="Heading2"/>
      </w:pPr>
      <w:r>
        <w:t xml:space="preserve">5.1 Granularidad</w:t>
      </w:r>
    </w:p>
    <w:p>
      <w:pPr>
        <w:pBdr>
          <w:left w:val="single" w:color="2A78D6" w:sz="18" w:space="8"/>
        </w:pBdr>
        <w:shd w:fill="EAF1FB" w:color="auto" w:val="clear"/>
        <w:spacing w:after="160" w:before="12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Una fila de la tabla de hechos representa un ítem de producto vendido dentro de un pedido</w:t>
      </w:r>
      <w:r>
        <w:rPr>
          <w:rFonts w:ascii="Times New Roman" w:cs="Times New Roman" w:eastAsia="Times New Roman" w:hAnsi="Times New Roman"/>
        </w:rPr>
        <w:t xml:space="preserve"> (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order_id</w:t>
      </w:r>
      <w:r>
        <w:rPr>
          <w:rFonts w:ascii="Times New Roman" w:cs="Times New Roman" w:eastAsia="Times New Roman" w:hAnsi="Times New Roman"/>
        </w:rPr>
        <w:t xml:space="preserve"> +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order_item_id</w:t>
      </w:r>
      <w:r>
        <w:rPr>
          <w:rFonts w:ascii="Times New Roman" w:cs="Times New Roman" w:eastAsia="Times New Roman" w:hAnsi="Times New Roman"/>
        </w:rPr>
        <w:t xml:space="preserve">), comprado entre el 01/01/2017 y el 31/08/2018.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</w:rPr>
        <w:t xml:space="preserve">Se eligió el nivel más fino disponible para poder analizar por producto, categoría y vendedor sin perder detalle; los indicadores de nivel pedido (OTD, CSAT, ticket) se obtienen agregando a una fila por pedido. La tabla contiene </w:t>
      </w:r>
      <w:r>
        <w:rPr>
          <w:rFonts w:ascii="Times New Roman" w:cs="Times New Roman" w:eastAsia="Times New Roman" w:hAnsi="Times New Roman"/>
          <w:b/>
          <w:bCs/>
        </w:rPr>
        <w:t xml:space="preserve">112 279 filas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Heading2"/>
      </w:pPr>
      <w:r>
        <w:t xml:space="preserve">5.2 Tabla de hechos: fact_ventas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0"/>
        <w:gridCol w:w="1900"/>
        <w:gridCol w:w="1400"/>
        <w:gridCol w:w="3620"/>
      </w:tblGrid>
      <w:tr>
        <w:trPr>
          <w:tblHeader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3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Descripción / agregación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order_id, order_item_id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VARCHAR(32), SMALLINT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PK compuesta</w:t>
            </w:r>
          </w:p>
        </w:tc>
        <w:tc>
          <w:tcPr>
            <w:tcW w:type="dxa" w:w="3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order_id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es dimensión degenerada: se usa para contar pedidos distintos.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tiempo_key … pago_key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 FK</w:t>
            </w:r>
          </w:p>
        </w:tc>
        <w:tc>
          <w:tcPr>
            <w:tcW w:type="dxa" w:w="3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Referencias a las 6 dimensiones (NOT NULL).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precio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Medida</w:t>
            </w:r>
          </w:p>
        </w:tc>
        <w:tc>
          <w:tcPr>
            <w:tcW w:type="dxa" w:w="3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Precio del producto (R$). Suma.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valor_flete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Medida</w:t>
            </w:r>
          </w:p>
        </w:tc>
        <w:tc>
          <w:tcPr>
            <w:tcW w:type="dxa" w:w="3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Flete asignado al ítem. Suma.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valor_total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Medida derivada</w:t>
            </w:r>
          </w:p>
        </w:tc>
        <w:tc>
          <w:tcPr>
            <w:tcW w:type="dxa" w:w="3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precio + valor_flete. Suma.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dias_entrega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Medida derivada</w:t>
            </w:r>
          </w:p>
        </w:tc>
        <w:tc>
          <w:tcPr>
            <w:tcW w:type="dxa" w:w="3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Fecha de entrega − fecha de compra. Promedio.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dias_retraso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Medida derivada</w:t>
            </w:r>
          </w:p>
        </w:tc>
        <w:tc>
          <w:tcPr>
            <w:tcW w:type="dxa" w:w="3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Fecha de entrega − fecha estimada (negativo = adelantado). Promedio / tramos.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flag_a_tiempo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SMALLINT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Medida derivada</w:t>
            </w:r>
          </w:p>
        </w:tc>
        <w:tc>
          <w:tcPr>
            <w:tcW w:type="dxa" w:w="3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 si fecha de entrega ≤ fecha estimada; 0 si no. Promedio = % OTD.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review_score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SMALLINT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Medida</w:t>
            </w:r>
          </w:p>
        </w:tc>
        <w:tc>
          <w:tcPr>
            <w:tcW w:type="dxa" w:w="3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Puntuación 1–5 de la reseña del pedido. Promedio por pedido.</w:t>
            </w:r>
          </w:p>
        </w:tc>
      </w:tr>
    </w:tbl>
    <w:p>
      <w:pPr>
        <w:spacing w:after="200" w:before="60"/>
      </w:pPr>
      <w:r>
        <w:rPr>
          <w:rFonts w:ascii="Times New Roman" w:cs="Times New Roman" w:eastAsia="Times New Roman" w:hAnsi="Times New Roman"/>
          <w:i/>
          <w:iCs/>
          <w:color w:val="404040"/>
          <w:sz w:val="18"/>
          <w:szCs w:val="18"/>
        </w:rPr>
        <w:t xml:space="preserve">Tabla 10. Estructura de la tabla de hechos.</w:t>
      </w:r>
    </w:p>
    <w:p>
      <w:pPr>
        <w:pStyle w:val="Heading2"/>
      </w:pPr>
      <w:r>
        <w:t xml:space="preserve">5.3 Dimensiones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800"/>
        <w:gridCol w:w="1700"/>
        <w:gridCol w:w="3270"/>
        <w:gridCol w:w="1800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Dimensión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Filas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Clave primaria</w:t>
            </w:r>
          </w:p>
        </w:tc>
        <w:tc>
          <w:tcPr>
            <w:tcW w:type="dxa" w:w="32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Atributos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Origen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dim_tiempo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730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tiempo_key (AAAAMMDD)</w:t>
            </w:r>
          </w:p>
        </w:tc>
        <w:tc>
          <w:tcPr>
            <w:tcW w:type="dxa" w:w="32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fecha, día, día de la semana, nombre del día, semana, mes, nombre del mes, trimestre, año, fin de semana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Generada con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generate_series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(2017–2018)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dim_cliente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99 441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cliente_key (SERIAL)</w:t>
            </w:r>
          </w:p>
        </w:tc>
        <w:tc>
          <w:tcPr>
            <w:tcW w:type="dxa" w:w="32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customer_id (UNIQUE), customer_unique_id, ciudad, estado, región, código postal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customers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dim_producto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32 951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producto_key (SERIAL)</w:t>
            </w:r>
          </w:p>
        </w:tc>
        <w:tc>
          <w:tcPr>
            <w:tcW w:type="dxa" w:w="32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product_id (UNIQUE), categoría PT y EN, peso, volumen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products + translation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dim_vendedor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3 095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vendedor_key (SERIAL)</w:t>
            </w:r>
          </w:p>
        </w:tc>
        <w:tc>
          <w:tcPr>
            <w:tcW w:type="dxa" w:w="32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seller_id (UNIQUE), ciudad, estado, región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sellers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dim_estado_pedido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estado_key (SERIAL)</w:t>
            </w:r>
          </w:p>
        </w:tc>
        <w:tc>
          <w:tcPr>
            <w:tcW w:type="dxa" w:w="32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order_status (UNIQUE), descripción en español, grupo (completado / en proceso / fallido)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orders.order_status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dim_pago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pago_key (SERIAL)</w:t>
            </w:r>
          </w:p>
        </w:tc>
        <w:tc>
          <w:tcPr>
            <w:tcW w:type="dxa" w:w="32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tipo de pago × rango de cuotas (1, 2-6, 7-12, &gt;12); UNIQUE (tipo, rango)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order_payments (pago principal)</w:t>
            </w:r>
          </w:p>
        </w:tc>
      </w:tr>
    </w:tbl>
    <w:p>
      <w:pPr>
        <w:spacing w:after="200" w:before="60"/>
      </w:pPr>
      <w:r>
        <w:rPr>
          <w:rFonts w:ascii="Times New Roman" w:cs="Times New Roman" w:eastAsia="Times New Roman" w:hAnsi="Times New Roman"/>
          <w:i/>
          <w:iCs/>
          <w:color w:val="404040"/>
          <w:sz w:val="18"/>
          <w:szCs w:val="18"/>
        </w:rPr>
        <w:t xml:space="preserve">Tabla 11. Dimensiones del modelo.</w:t>
      </w:r>
    </w:p>
    <w:p>
      <w:pPr>
        <w:pStyle w:val="Heading2"/>
      </w:pPr>
      <w:r>
        <w:t xml:space="preserve">5.4 Decisiones de diseño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Pago principal.</w:t>
      </w:r>
      <w:r>
        <w:rPr>
          <w:rFonts w:ascii="Times New Roman" w:cs="Times New Roman" w:eastAsia="Times New Roman" w:hAnsi="Times New Roman"/>
        </w:rPr>
        <w:t xml:space="preserve"> Un pedido puede tener varios pagos; para mantener la relación 1:N con la tabla de hechos se asigna el pago de </w:t>
      </w:r>
      <w:r>
        <w:rPr>
          <w:rFonts w:ascii="Times New Roman" w:cs="Times New Roman" w:eastAsia="Times New Roman" w:hAnsi="Times New Roman"/>
          <w:b/>
          <w:bCs/>
        </w:rPr>
        <w:t xml:space="preserve">mayor valor</w:t>
      </w:r>
      <w:r>
        <w:rPr>
          <w:rFonts w:ascii="Times New Roman" w:cs="Times New Roman" w:eastAsia="Times New Roman" w:hAnsi="Times New Roman"/>
        </w:rPr>
        <w:t xml:space="preserve"> (en empate, el primero por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payment_sequential</w:t>
      </w:r>
      <w:r>
        <w:rPr>
          <w:rFonts w:ascii="Times New Roman" w:cs="Times New Roman" w:eastAsia="Times New Roman" w:hAnsi="Times New Roman"/>
        </w:rPr>
        <w:t xml:space="preserve">). Se descartó una segunda tabla de hechos de pagos porque la P4 solo requiere el medio de pago predominante.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Reseña por pedido.</w:t>
      </w:r>
      <w:r>
        <w:rPr>
          <w:rFonts w:ascii="Times New Roman" w:cs="Times New Roman" w:eastAsia="Times New Roman" w:hAnsi="Times New Roman"/>
        </w:rPr>
        <w:t xml:space="preserve"> Se conserva una reseña por pedido y se repite en sus ítems; los promedios se calculan sobre pedidos distintos (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DISTINCT ON (order_id)</w:t>
      </w:r>
      <w:r>
        <w:rPr>
          <w:rFonts w:ascii="Times New Roman" w:cs="Times New Roman" w:eastAsia="Times New Roman" w:hAnsi="Times New Roman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Medidas de entrega.</w:t>
      </w:r>
      <w:r>
        <w:rPr>
          <w:rFonts w:ascii="Times New Roman" w:cs="Times New Roman" w:eastAsia="Times New Roman" w:hAnsi="Times New Roman"/>
        </w:rPr>
        <w:t xml:space="preserve"> Solo se calculan para pedidos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delivered</w:t>
      </w:r>
      <w:r>
        <w:rPr>
          <w:rFonts w:ascii="Times New Roman" w:cs="Times New Roman" w:eastAsia="Times New Roman" w:hAnsi="Times New Roman"/>
        </w:rPr>
        <w:t xml:space="preserve">; un pedido cancelado con fecha de entrega no constituye una entrega válida.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Región.</w:t>
      </w:r>
      <w:r>
        <w:rPr>
          <w:rFonts w:ascii="Times New Roman" w:cs="Times New Roman" w:eastAsia="Times New Roman" w:hAnsi="Times New Roman"/>
        </w:rPr>
        <w:t xml:space="preserve"> La región de Brasil se deriva del estado (UF) con la función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dw.fn_region()</w:t>
      </w:r>
      <w:r>
        <w:rPr>
          <w:rFonts w:ascii="Times New Roman" w:cs="Times New Roman" w:eastAsia="Times New Roman" w:hAnsi="Times New Roman"/>
        </w:rPr>
        <w:t xml:space="preserve">, lo que permite un filtro jerárquico región → estado.</w:t>
      </w:r>
    </w:p>
    <w:p>
      <w:pPr>
        <w:pStyle w:val="Heading1"/>
      </w:pPr>
      <w:r>
        <w:t xml:space="preserve">6. Implementación en PostgreSQL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</w:rPr>
        <w:t xml:space="preserve">La base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bi_database</w:t>
      </w:r>
      <w:r>
        <w:rPr>
          <w:rFonts w:ascii="Times New Roman" w:cs="Times New Roman" w:eastAsia="Times New Roman" w:hAnsi="Times New Roman"/>
        </w:rPr>
        <w:t xml:space="preserve"> corre en PostgreSQL 16 dentro de Docker (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docker-compose.yml</w:t>
      </w:r>
      <w:r>
        <w:rPr>
          <w:rFonts w:ascii="Times New Roman" w:cs="Times New Roman" w:eastAsia="Times New Roman" w:hAnsi="Times New Roman"/>
        </w:rPr>
        <w:t xml:space="preserve">, contenedor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bi-postgres</w:t>
      </w:r>
      <w:r>
        <w:rPr>
          <w:rFonts w:ascii="Times New Roman" w:cs="Times New Roman" w:eastAsia="Times New Roman" w:hAnsi="Times New Roman"/>
        </w:rPr>
        <w:t xml:space="preserve">, con Adminer en el puerto 8080). El proceso completo se ejecuta con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python etl/run_pipeline.py</w:t>
      </w:r>
      <w:r>
        <w:rPr>
          <w:rFonts w:ascii="Times New Roman" w:cs="Times New Roman" w:eastAsia="Times New Roman" w:hAnsi="Times New Roman"/>
        </w:rPr>
        <w:t xml:space="preserve">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2400"/>
        <w:gridCol w:w="5870"/>
      </w:tblGrid>
      <w:tr>
        <w:trPr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Orden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dxa" w:w="5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etl/01_perfilado.py</w:t>
            </w:r>
          </w:p>
        </w:tc>
        <w:tc>
          <w:tcPr>
            <w:tcW w:type="dxa" w:w="5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Perfilamiento de los 9 CSV →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reports/perfilado.md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etl/02_limpieza.py</w:t>
            </w:r>
          </w:p>
        </w:tc>
        <w:tc>
          <w:tcPr>
            <w:tcW w:type="dxa" w:w="5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Limpieza con pandas →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data/clean/*.csv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+ bitácora.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sql/01_staging.sql</w:t>
            </w:r>
          </w:p>
        </w:tc>
        <w:tc>
          <w:tcPr>
            <w:tcW w:type="dxa" w:w="5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Esquema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staging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con tipos correctos y tabla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etl_log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etl/03_carga.py</w:t>
            </w:r>
          </w:p>
        </w:tc>
        <w:tc>
          <w:tcPr>
            <w:tcW w:type="dxa" w:w="5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COPY de los CSV limpios a staging y ejecución de los scripts siguientes en una transacción.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sql/02_dw_tablas.sql</w:t>
            </w:r>
          </w:p>
        </w:tc>
        <w:tc>
          <w:tcPr>
            <w:tcW w:type="dxa" w:w="5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Esquema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dw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: 6 dimensiones y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fact_ventas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con PK, FK e índices sobre las FK.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sql/03_dimensiones.sql</w:t>
            </w:r>
          </w:p>
        </w:tc>
        <w:tc>
          <w:tcPr>
            <w:tcW w:type="dxa" w:w="5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Carga de dimensiones y función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dw.fn_region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sql/04_fact_ventas.sql</w:t>
            </w:r>
          </w:p>
        </w:tc>
        <w:tc>
          <w:tcPr>
            <w:tcW w:type="dxa" w:w="5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Carga de la tabla de hechos con medidas derivadas.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sql/07_restricciones.sql</w:t>
            </w:r>
          </w:p>
        </w:tc>
        <w:tc>
          <w:tcPr>
            <w:tcW w:type="dxa" w:w="5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15 restricciones CHECK de calidad.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sql/06_funciones.sql</w:t>
            </w:r>
          </w:p>
        </w:tc>
        <w:tc>
          <w:tcPr>
            <w:tcW w:type="dxa" w:w="5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Vista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dw.vw_ventas_detalle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y funciones de consumo analítico.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sql/05_validaciones.sql</w:t>
            </w:r>
          </w:p>
        </w:tc>
        <w:tc>
          <w:tcPr>
            <w:tcW w:type="dxa" w:w="5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14 consultas de validación →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reports/validaciones.md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.</w:t>
            </w:r>
          </w:p>
        </w:tc>
      </w:tr>
    </w:tbl>
    <w:p>
      <w:pPr>
        <w:spacing w:after="200" w:before="60"/>
      </w:pPr>
      <w:r>
        <w:rPr>
          <w:rFonts w:ascii="Times New Roman" w:cs="Times New Roman" w:eastAsia="Times New Roman" w:hAnsi="Times New Roman"/>
          <w:i/>
          <w:iCs/>
          <w:color w:val="404040"/>
          <w:sz w:val="18"/>
          <w:szCs w:val="18"/>
        </w:rPr>
        <w:t xml:space="preserve">Tabla 12. Scripts y orden de ejecución.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Extracto de sql/04_fact_ventas.sql · selección del pago principal</w:t>
      </w:r>
    </w:p>
    <w:p>
      <w:pPr>
        <w:pBdr>
          <w:left w:val="single" w:color="2A78D6" w:sz="12" w:space="6"/>
        </w:pBdr>
        <w:shd w:fill="F4F4F4" w:color="auto" w:val="clear"/>
        <w:spacing w:after="0" w:before="4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WITH pago_principal AS (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-- Un pedido puede tener varios pagos (tarjeta + voucher). Se toma como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-- pago principal el de MAYOR valor; en caso de empate, el primero.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SELECT DISTINCT ON (order_id)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       order_id,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       payment_type,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       CASE WHEN payment_installments &lt;= 1  THEN '1'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            WHEN payment_installments &lt;= 6  THEN '2-6'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            WHEN payment_installments &lt;= 12 THEN '7-12'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            ELSE '&gt;12' END AS rango_cuotas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FROM staging.order_payments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ORDER BY order_id, payment_value DESC, payment_sequential</w:t>
      </w:r>
    </w:p>
    <w:p>
      <w:pPr>
        <w:spacing w:after="160"/>
      </w:pP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Extracto de sql/04_fact_ventas.sql · medidas derivadas</w:t>
      </w:r>
    </w:p>
    <w:p>
      <w:pPr>
        <w:pBdr>
          <w:left w:val="single" w:color="2A78D6" w:sz="12" w:space="6"/>
        </w:pBdr>
        <w:shd w:fill="F4F4F4" w:color="auto" w:val="clear"/>
        <w:spacing w:after="0" w:before="4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   b.price + b.freight_value,                               -- valor_total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   b.f_entrega - b.f_compra,                                -- dias_entrega (NULL si no se entregó)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   b.f_entrega - b.f_estimada,                              -- dias_retraso (negativo = adelantado)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   CASE WHEN b.f_entrega IS NULL THEN NULL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        WHEN b.f_entrega &lt;= b.f_estimada THEN 1 ELSE 0 END, -- flag_a_tiempo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   b.review_score</w:t>
      </w:r>
    </w:p>
    <w:p>
      <w:pPr>
        <w:spacing w:after="160"/>
      </w:pP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Integridad referencial y reglas de calidad.</w:t>
      </w:r>
      <w:r>
        <w:rPr>
          <w:rFonts w:ascii="Times New Roman" w:cs="Times New Roman" w:eastAsia="Times New Roman" w:hAnsi="Times New Roman"/>
        </w:rPr>
        <w:t xml:space="preserve"> Las 6 FK de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fact_ventas</w:t>
      </w:r>
      <w:r>
        <w:rPr>
          <w:rFonts w:ascii="Times New Roman" w:cs="Times New Roman" w:eastAsia="Times New Roman" w:hAnsi="Times New Roman"/>
        </w:rPr>
        <w:t xml:space="preserve"> son NOT NULL y referencian las PK de las dimensiones. El script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07_restricciones.sql</w:t>
      </w:r>
      <w:r>
        <w:rPr>
          <w:rFonts w:ascii="Times New Roman" w:cs="Times New Roman" w:eastAsia="Times New Roman" w:hAnsi="Times New Roman"/>
        </w:rPr>
        <w:t xml:space="preserve"> añade restricciones CHECK, por ejemplo: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precio &gt;= 0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valor_total = precio + valor_flete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review_score BETWEEN 1 AND 5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flag_a_tiempo IN (0, 1)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dias_entrega &gt;= 0</w:t>
      </w:r>
      <w:r>
        <w:rPr>
          <w:rFonts w:ascii="Times New Roman" w:cs="Times New Roman" w:eastAsia="Times New Roman" w:hAnsi="Times New Roman"/>
        </w:rPr>
        <w:t xml:space="preserve">, estado con patrón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^[A-Z]{2}$</w:t>
      </w:r>
      <w:r>
        <w:rPr>
          <w:rFonts w:ascii="Times New Roman" w:cs="Times New Roman" w:eastAsia="Times New Roman" w:hAnsi="Times New Roman"/>
        </w:rPr>
        <w:t xml:space="preserve"> y código postal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^[0-9]{5}$</w:t>
      </w:r>
      <w:r>
        <w:rPr>
          <w:rFonts w:ascii="Times New Roman" w:cs="Times New Roman" w:eastAsia="Times New Roman" w:hAnsi="Times New Roman"/>
        </w:rPr>
        <w:t xml:space="preserve">. Un intento de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UPDATE dw.fact_ventas SET review_score = 9</w:t>
      </w:r>
      <w:r>
        <w:rPr>
          <w:rFonts w:ascii="Times New Roman" w:cs="Times New Roman" w:eastAsia="Times New Roman" w:hAnsi="Times New Roman"/>
        </w:rPr>
        <w:t xml:space="preserve"> es rechazado por la base con el error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violates check constraint "ck_fact_review"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Heading1"/>
      </w:pPr>
      <w:r>
        <w:t xml:space="preserve">7. Validación de los datos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</w:rPr>
        <w:t xml:space="preserve">Las consultas de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sql/05_validaciones.sql</w:t>
      </w:r>
      <w:r>
        <w:rPr>
          <w:rFonts w:ascii="Times New Roman" w:cs="Times New Roman" w:eastAsia="Times New Roman" w:hAnsi="Times New Roman"/>
        </w:rPr>
        <w:t xml:space="preserve"> se ejecutan automáticamente al final de la carga. La Tabla 13 resume el resultado obtenido frente al esperado: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"/>
        <w:gridCol w:w="2550"/>
        <w:gridCol w:w="1800"/>
        <w:gridCol w:w="3520"/>
        <w:gridCol w:w="750"/>
      </w:tblGrid>
      <w:tr>
        <w:trPr>
          <w:tblHeader/>
        </w:trP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Verificación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Esperado</w:t>
            </w:r>
          </w:p>
        </w:tc>
        <w:tc>
          <w:tcPr>
            <w:tcW w:type="dxa" w:w="3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Obtenido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</w:t>
            </w:r>
          </w:p>
        </w:tc>
        <w:tc>
          <w:tcPr>
            <w:tcW w:type="dxa" w:w="2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Coherencia origen → staging (8 tablas)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filas limpias = filas en staging</w:t>
            </w:r>
          </w:p>
        </w:tc>
        <w:tc>
          <w:tcPr>
            <w:tcW w:type="dxa" w:w="3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 de 8 coinciden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2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Registros por tabla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730 / 99 441 / 32 951 / 3 095 / 8 / 20</w:t>
            </w:r>
          </w:p>
        </w:tc>
        <w:tc>
          <w:tcPr>
            <w:tcW w:type="dxa" w:w="3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730 / 99 441 / 32 951 / 3 095 / 8 / 20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1b</w:t>
            </w:r>
          </w:p>
        </w:tc>
        <w:tc>
          <w:tcPr>
            <w:tcW w:type="dxa" w:w="2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Ítems del período en staging vs. filas de hechos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Iguales</w:t>
            </w:r>
          </w:p>
        </w:tc>
        <w:tc>
          <w:tcPr>
            <w:tcW w:type="dxa" w:w="3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112 279 = 112 279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2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Filas de hechos sin dimensión (6 FK)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</w:t>
            </w:r>
          </w:p>
        </w:tc>
        <w:tc>
          <w:tcPr>
            <w:tcW w:type="dxa" w:w="3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 en las 6 claves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2b</w:t>
            </w:r>
          </w:p>
        </w:tc>
        <w:tc>
          <w:tcPr>
            <w:tcW w:type="dxa" w:w="2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Duplicados en el grano (order_id, order_item_id)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</w:t>
            </w:r>
          </w:p>
        </w:tc>
        <w:tc>
          <w:tcPr>
            <w:tcW w:type="dxa" w:w="3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2c</w:t>
            </w:r>
          </w:p>
        </w:tc>
        <w:tc>
          <w:tcPr>
            <w:tcW w:type="dxa" w:w="2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Pedidos del período sin ítems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Solo estados fallidos</w:t>
            </w:r>
          </w:p>
        </w:tc>
        <w:tc>
          <w:tcPr>
            <w:tcW w:type="dxa" w:w="3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739 (canceled, created, unavailable)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</w:t>
            </w:r>
          </w:p>
        </w:tc>
        <w:tc>
          <w:tcPr>
            <w:tcW w:type="dxa" w:w="2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Nulos en precio / flete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</w:t>
            </w:r>
          </w:p>
        </w:tc>
        <w:tc>
          <w:tcPr>
            <w:tcW w:type="dxa" w:w="3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3a</w:t>
            </w:r>
          </w:p>
        </w:tc>
        <w:tc>
          <w:tcPr>
            <w:tcW w:type="dxa" w:w="2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Nulos en medidas de entrega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Explicados por el estado</w:t>
            </w:r>
          </w:p>
        </w:tc>
        <w:tc>
          <w:tcPr>
            <w:tcW w:type="dxa" w:w="3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2 407: shipped 1 174, canceled 527, processing 355, invoiced 340, delivered 8, approved 3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</w:t>
            </w:r>
          </w:p>
        </w:tc>
        <w:tc>
          <w:tcPr>
            <w:tcW w:type="dxa" w:w="2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Ítems sin reseña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Pedidos sin reseña</w:t>
            </w:r>
          </w:p>
        </w:tc>
        <w:tc>
          <w:tcPr>
            <w:tcW w:type="dxa" w:w="3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highlight w:val="yellow"/>
              </w:rPr>
              <w:t xml:space="preserve">936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3b</w:t>
            </w:r>
          </w:p>
        </w:tc>
        <w:tc>
          <w:tcPr>
            <w:tcW w:type="dxa" w:w="2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Nulos en dimensiones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Solo los documentados</w:t>
            </w:r>
          </w:p>
        </w:tc>
        <w:tc>
          <w:tcPr>
            <w:tcW w:type="dxa" w:w="3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610 sin categoría, 6 sin peso, 0 clientes y 0 vendedores sin ciudad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</w:t>
            </w:r>
          </w:p>
        </w:tc>
        <w:tc>
          <w:tcPr>
            <w:tcW w:type="dxa" w:w="2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Totales del período (incl. cancelados)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Igual al E2</w:t>
            </w:r>
          </w:p>
        </w:tc>
        <w:tc>
          <w:tcPr>
            <w:tcW w:type="dxa" w:w="3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112 279 ítems · 98 353 pedidos · R$ 13 541 712,78 · flete R$ 2 244 490,79 · ticket R$ 160,51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4a</w:t>
            </w:r>
          </w:p>
        </w:tc>
        <w:tc>
          <w:tcPr>
            <w:tcW w:type="dxa" w:w="2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Totales staging vs. hechos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Diferencia 0,00</w:t>
            </w:r>
          </w:p>
        </w:tc>
        <w:tc>
          <w:tcPr>
            <w:tcW w:type="dxa" w:w="3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0,00 en ingreso y en flete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4b</w:t>
            </w:r>
          </w:p>
        </w:tc>
        <w:tc>
          <w:tcPr>
            <w:tcW w:type="dxa" w:w="2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valor_total ≠ precio + flete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</w:t>
            </w:r>
          </w:p>
        </w:tc>
        <w:tc>
          <w:tcPr>
            <w:tcW w:type="dxa" w:w="3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4c</w:t>
            </w:r>
          </w:p>
        </w:tc>
        <w:tc>
          <w:tcPr>
            <w:tcW w:type="dxa" w:w="2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KPI recalculados sobre la tabla de hechos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Igual a fn_kpis()</w:t>
            </w:r>
          </w:p>
        </w:tc>
        <w:tc>
          <w:tcPr>
            <w:tcW w:type="dxa" w:w="3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12,5 días · 93,2 % · CSAT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  <w:highlight w:val="yellow"/>
              </w:rPr>
              <w:t xml:space="preserve">4,12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</w:t>
            </w:r>
          </w:p>
        </w:tc>
        <w:tc>
          <w:tcPr>
            <w:tcW w:type="dxa" w:w="2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fn_kpis vs. suma mensual vs. suma por estado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Iguales</w:t>
            </w:r>
          </w:p>
        </w:tc>
        <w:tc>
          <w:tcPr>
            <w:tcW w:type="dxa" w:w="3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R$ 13 449 529,68 en las tres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OK</w:t>
            </w:r>
          </w:p>
        </w:tc>
      </w:tr>
    </w:tbl>
    <w:p>
      <w:pPr>
        <w:spacing w:after="200" w:before="60"/>
      </w:pPr>
      <w:r>
        <w:rPr>
          <w:rFonts w:ascii="Times New Roman" w:cs="Times New Roman" w:eastAsia="Times New Roman" w:hAnsi="Times New Roman"/>
          <w:i/>
          <w:iCs/>
          <w:color w:val="404040"/>
          <w:sz w:val="18"/>
          <w:szCs w:val="18"/>
        </w:rPr>
        <w:t xml:space="preserve">Tabla 13. Resultados de validación (</w:t>
      </w:r>
      <w:r>
        <w:rPr>
          <w:rFonts w:ascii="Consolas" w:cs="Consolas" w:eastAsia="Consolas" w:hAnsi="Consolas"/>
          <w:color w:val="8B1A1A"/>
          <w:sz w:val="16"/>
          <w:szCs w:val="16"/>
        </w:rPr>
        <w:t xml:space="preserve">reports/validaciones.md</w:t>
      </w:r>
      <w:r>
        <w:rPr>
          <w:rFonts w:ascii="Times New Roman" w:cs="Times New Roman" w:eastAsia="Times New Roman" w:hAnsi="Times New Roman"/>
          <w:i/>
          <w:iCs/>
          <w:color w:val="404040"/>
          <w:sz w:val="18"/>
          <w:szCs w:val="18"/>
        </w:rPr>
        <w:t xml:space="preserve">). Las cifras estructurales coinciden exactamente con las reportadas en el Entregable 2.</w:t>
      </w:r>
    </w:p>
    <w:p>
      <w:pPr>
        <w:pStyle w:val="Heading1"/>
      </w:pPr>
      <w:r>
        <w:t xml:space="preserve">8. Capa analítica: vista y funciones SQL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</w:rPr>
        <w:t xml:space="preserve">La aplicación no consulta las tablas directamente: consume una vista base y nueve funciones del esquema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dw</w:t>
      </w:r>
      <w:r>
        <w:rPr>
          <w:rFonts w:ascii="Times New Roman" w:cs="Times New Roman" w:eastAsia="Times New Roman" w:hAnsi="Times New Roman"/>
        </w:rPr>
        <w:t xml:space="preserve">. Todas comparten la misma firma de filtros (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p_fecha_ini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p_fecha_fin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p_region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p_categoria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p_estado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p_tipo_pago</w:t>
      </w:r>
      <w:r>
        <w:rPr>
          <w:rFonts w:ascii="Times New Roman" w:cs="Times New Roman" w:eastAsia="Times New Roman" w:hAnsi="Times New Roman"/>
        </w:rPr>
        <w:t xml:space="preserve">, donde NULL significa «todos») y se apoyan en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dw.fn_ventas_filtradas</w:t>
      </w:r>
      <w:r>
        <w:rPr>
          <w:rFonts w:ascii="Times New Roman" w:cs="Times New Roman" w:eastAsia="Times New Roman" w:hAnsi="Times New Roman"/>
        </w:rPr>
        <w:t xml:space="preserve">, de modo que un filtro se define una sola vez y se aplica igual en todos los componentes.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1500"/>
        <w:gridCol w:w="4070"/>
        <w:gridCol w:w="800"/>
      </w:tblGrid>
      <w:tr>
        <w:trPr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Objeto SQL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Devuelve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Preg.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dw.vw_ventas_detalle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Vista</w:t>
            </w:r>
          </w:p>
        </w:tc>
        <w:tc>
          <w:tcPr>
            <w:tcW w:type="dxa" w:w="4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Hechos + atributos de las 6 dimensiones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Base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dw.fn_ventas_filtradas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Función (SETOF vista)</w:t>
            </w:r>
          </w:p>
        </w:tc>
        <w:tc>
          <w:tcPr>
            <w:tcW w:type="dxa" w:w="4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Filas de la vista con los filtros aplicados y sin cancelados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Base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dw.fn_kpis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Función</w:t>
            </w:r>
          </w:p>
        </w:tc>
        <w:tc>
          <w:tcPr>
            <w:tcW w:type="dxa" w:w="4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 indicadores en una fila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P1–P3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dw.fn_ingresos_mensuales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Función</w:t>
            </w:r>
          </w:p>
        </w:tc>
        <w:tc>
          <w:tcPr>
            <w:tcW w:type="dxa" w:w="4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Ingreso, pedidos, ticket y variación % por mes (función ventana LAG)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dw.fn_ventas_por_categoria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Función</w:t>
            </w:r>
          </w:p>
        </w:tc>
        <w:tc>
          <w:tcPr>
            <w:tcW w:type="dxa" w:w="4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Ingreso, pedidos, participación y precio promedio por categoría (Top N)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dw.fn_ventas_por_estado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Función</w:t>
            </w:r>
          </w:p>
        </w:tc>
        <w:tc>
          <w:tcPr>
            <w:tcW w:type="dxa" w:w="4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Ingreso, participación, OTD, días de entrega y CSAT por estado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P1, P2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dw.fn_csat_por_puntualidad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Función</w:t>
            </w:r>
          </w:p>
        </w:tc>
        <w:tc>
          <w:tcPr>
            <w:tcW w:type="dxa" w:w="4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CSAT y % de reseñas negativas a tiempo vs. con retraso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P3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dw.fn_csat_por_retraso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Función</w:t>
            </w:r>
          </w:p>
        </w:tc>
        <w:tc>
          <w:tcPr>
            <w:tcW w:type="dxa" w:w="4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CSAT y % negativas en 7 tramos de días de retraso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P3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dw.fn_medios_pago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Función</w:t>
            </w:r>
          </w:p>
        </w:tc>
        <w:tc>
          <w:tcPr>
            <w:tcW w:type="dxa" w:w="4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Pedidos, ingreso y ticket por medio de pago y rango de cuotas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P4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dw.fn_ranking_vendedores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Función</w:t>
            </w:r>
          </w:p>
        </w:tc>
        <w:tc>
          <w:tcPr>
            <w:tcW w:type="dxa" w:w="4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Pedidos, ingreso, % con retraso, días de entrega y CSAT por vendedor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P2</w:t>
            </w:r>
          </w:p>
        </w:tc>
      </w:tr>
    </w:tbl>
    <w:p>
      <w:pPr>
        <w:spacing w:after="200" w:before="60"/>
      </w:pPr>
      <w:r>
        <w:rPr>
          <w:rFonts w:ascii="Times New Roman" w:cs="Times New Roman" w:eastAsia="Times New Roman" w:hAnsi="Times New Roman"/>
          <w:i/>
          <w:iCs/>
          <w:color w:val="404040"/>
          <w:sz w:val="18"/>
          <w:szCs w:val="18"/>
        </w:rPr>
        <w:t xml:space="preserve">Tabla 14. Objetos SQL de consumo analítico (</w:t>
      </w:r>
      <w:r>
        <w:rPr>
          <w:rFonts w:ascii="Consolas" w:cs="Consolas" w:eastAsia="Consolas" w:hAnsi="Consolas"/>
          <w:color w:val="8B1A1A"/>
          <w:sz w:val="16"/>
          <w:szCs w:val="16"/>
        </w:rPr>
        <w:t xml:space="preserve">sql/06_funciones.sql</w:t>
      </w:r>
      <w:r>
        <w:rPr>
          <w:rFonts w:ascii="Times New Roman" w:cs="Times New Roman" w:eastAsia="Times New Roman" w:hAnsi="Times New Roman"/>
          <w:i/>
          <w:iCs/>
          <w:color w:val="404040"/>
          <w:sz w:val="18"/>
          <w:szCs w:val="18"/>
        </w:rPr>
        <w:t xml:space="preserve">).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Extracto de sql/06_funciones.sql · filtro común</w:t>
      </w:r>
    </w:p>
    <w:p>
      <w:pPr>
        <w:pBdr>
          <w:left w:val="single" w:color="2A78D6" w:sz="12" w:space="6"/>
        </w:pBdr>
        <w:shd w:fill="F4F4F4" w:color="auto" w:val="clear"/>
        <w:spacing w:after="0" w:before="4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CREATE FUNCTION dw.fn_ventas_filtradas(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p_fecha_ini DATE DEFAULT '2017-01-01',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p_fecha_fin DATE DEFAULT '2018-08-31',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p_region    TEXT DEFAULT NULL,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p_categoria TEXT DEFAULT NULL,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p_estado    TEXT DEFAULT NULL,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p_tipo_pago TEXT DEFAULT NULL)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RETURNS SETOF dw.vw_ventas_detalle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LANGUAGE sql STABLE AS $$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SELECT *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FROM dw.vw_ventas_detalle v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WHERE NOT v.es_cancelado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  AND v.fecha BETWEEN COALESCE(p_fecha_ini, '1900-01-01') AND COALESCE(p_fecha_fin, '2999-12-31')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  AND (p_region    IS NULL OR v.region_cliente = p_region)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  AND (p_categoria IS NULL OR v.categoria      = p_categoria)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  AND (p_estado    IS NULL OR v.estado_cliente = p_estado)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  AND (p_tipo_pago IS NULL OR v.tipo_pago      = p_tipo_pago);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$$;</w:t>
      </w:r>
    </w:p>
    <w:p>
      <w:pPr>
        <w:spacing w:after="160"/>
      </w:pP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Extracto de sql/06_funciones.sql · satisfacción según puntualidad (P3)</w:t>
      </w:r>
    </w:p>
    <w:p>
      <w:pPr>
        <w:pBdr>
          <w:left w:val="single" w:color="2A78D6" w:sz="12" w:space="6"/>
        </w:pBdr>
        <w:shd w:fill="F4F4F4" w:color="auto" w:val="clear"/>
        <w:spacing w:after="0" w:before="4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CREATE FUNCTION dw.fn_csat_por_puntualidad(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p_fecha_ini DATE DEFAULT '2017-01-01', p_fecha_fin DATE DEFAULT '2018-08-31',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p_region TEXT DEFAULT NULL, p_categoria TEXT DEFAULT NULL,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p_estado TEXT DEFAULT NULL, p_tipo_pago TEXT DEFAULT NULL)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RETURNS TABLE (grupo TEXT, pedidos BIGINT, csat_promedio NUMERIC, pct_resenas_negativas NUMERIC)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LANGUAGE sql STABLE AS $$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WITH ped AS (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    SELECT DISTINCT ON (order_id) order_id, flag_a_tiempo, review_score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    FROM dw.fn_ventas_filtradas(p_fecha_ini, p_fecha_fin, p_region, p_categoria, p_estado, p_tipo_pago)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    WHERE flag_a_tiempo IS NOT NULL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      AND review_score IS NOT NULL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    ORDER BY order_id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)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SELECT (CASE WHEN flag_a_tiempo = 1 THEN 'A tiempo' ELSE 'Con retraso' END)::text,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       count(*),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       round(avg(review_score), 2),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       round(100.0 * count(*) FILTER (WHERE review_score &lt;= 2) / count(*), 1)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FROM ped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GROUP BY flag_a_tiempo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ORDER BY flag_a_tiempo DESC;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$$;</w:t>
      </w:r>
    </w:p>
    <w:p>
      <w:pPr>
        <w:spacing w:after="160"/>
      </w:pPr>
    </w:p>
    <w:p>
      <w:pPr>
        <w:pStyle w:val="Heading1"/>
      </w:pPr>
      <w:r>
        <w:t xml:space="preserve">9. Mockup de la aplicación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</w:rPr>
        <w:t xml:space="preserve">El mockup del Entregable 2 representaba una sola página. Se corrigió para reflejar la estructura definitiva de cuatro páginas, con una barra lateral de filtros común y la referencia a la función SQL que alimenta cada componente (Figura 3).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9052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404040"/>
          <w:sz w:val="19"/>
          <w:szCs w:val="19"/>
        </w:rPr>
        <w:t xml:space="preserve">Figura 3. Mockup corregido de las cuatro páginas del dashboard.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00"/>
        <w:gridCol w:w="4770"/>
      </w:tblGrid>
      <w:tr>
        <w:trPr>
          <w:tblHeader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Corrección</w:t>
            </w:r>
          </w:p>
        </w:tc>
        <w:tc>
          <w:tcPr>
            <w:tcW w:type="dxa" w:w="4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 1 a 4 páginas (Resumen, Ventas, Logística y satisfacción, Vendedores).</w:t>
            </w:r>
          </w:p>
        </w:tc>
        <w:tc>
          <w:tcPr>
            <w:tcW w:type="dxa" w:w="4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Cada página responde a una pregunta y a un usuario distinto; evita una pantalla saturada.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 4 a 5 filtros, en barra lateral persistente; estado (UF) en cascada con la región.</w:t>
            </w:r>
          </w:p>
        </w:tc>
        <w:tc>
          <w:tcPr>
            <w:tcW w:type="dxa" w:w="4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El análisis logístico exige bajar de región a estado; los filtros deben mantenerse al navegar.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 4 a 8 tarjetas KPI en la página de inicio.</w:t>
            </w:r>
          </w:p>
        </w:tc>
        <w:tc>
          <w:tcPr>
            <w:tcW w:type="dxa" w:w="4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 incorporan tiempo de entrega y % de reseñas negativas, que sustituyen a la tasa de cancelación (sección 3.3).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Nuevo gráfico de satisfacción por tramos de días de retraso.</w:t>
            </w:r>
          </w:p>
        </w:tc>
        <w:tc>
          <w:tcPr>
            <w:tcW w:type="dxa" w:w="4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Mide la intensidad del efecto del retraso, no solo su existencia (P3).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Ranking de vendedores con orden por % de retraso y umbral de pedidos.</w:t>
            </w:r>
          </w:p>
        </w:tc>
        <w:tc>
          <w:tcPr>
            <w:tcW w:type="dxa" w:w="4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Ordenar solo por ingreso ocultaba a los vendedores problemáticos (P2).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Cada componente muestra «Ver consulta SQL».</w:t>
            </w:r>
          </w:p>
        </w:tc>
        <w:tc>
          <w:tcPr>
            <w:tcW w:type="dxa" w:w="4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Trazabilidad visible entre el gráfico y el dato.</w:t>
            </w:r>
          </w:p>
        </w:tc>
      </w:tr>
    </w:tbl>
    <w:p>
      <w:pPr>
        <w:spacing w:after="200" w:before="60"/>
      </w:pPr>
      <w:r>
        <w:rPr>
          <w:rFonts w:ascii="Times New Roman" w:cs="Times New Roman" w:eastAsia="Times New Roman" w:hAnsi="Times New Roman"/>
          <w:i/>
          <w:iCs/>
          <w:color w:val="404040"/>
          <w:sz w:val="18"/>
          <w:szCs w:val="18"/>
        </w:rPr>
        <w:t xml:space="preserve">Tabla 15. Correcciones del mockup respecto al Entregable 2.</w:t>
      </w:r>
    </w:p>
    <w:p>
      <w:pPr>
        <w:pStyle w:val="Heading1"/>
      </w:pPr>
      <w:r>
        <w:t xml:space="preserve">10. Matriz de trazabilidad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</w:rPr>
        <w:t xml:space="preserve">Filtros globales aplicados a todos los componentes: </w:t>
      </w:r>
      <w:r>
        <w:rPr>
          <w:rFonts w:ascii="Times New Roman" w:cs="Times New Roman" w:eastAsia="Times New Roman" w:hAnsi="Times New Roman"/>
          <w:b/>
          <w:bCs/>
        </w:rPr>
        <w:t xml:space="preserve">F1</w:t>
      </w:r>
      <w:r>
        <w:rPr>
          <w:rFonts w:ascii="Times New Roman" w:cs="Times New Roman" w:eastAsia="Times New Roman" w:hAnsi="Times New Roman"/>
        </w:rPr>
        <w:t xml:space="preserve"> rango de fechas · </w:t>
      </w:r>
      <w:r>
        <w:rPr>
          <w:rFonts w:ascii="Times New Roman" w:cs="Times New Roman" w:eastAsia="Times New Roman" w:hAnsi="Times New Roman"/>
          <w:b/>
          <w:bCs/>
        </w:rPr>
        <w:t xml:space="preserve">F2</w:t>
      </w:r>
      <w:r>
        <w:rPr>
          <w:rFonts w:ascii="Times New Roman" w:cs="Times New Roman" w:eastAsia="Times New Roman" w:hAnsi="Times New Roman"/>
        </w:rPr>
        <w:t xml:space="preserve"> región · </w:t>
      </w:r>
      <w:r>
        <w:rPr>
          <w:rFonts w:ascii="Times New Roman" w:cs="Times New Roman" w:eastAsia="Times New Roman" w:hAnsi="Times New Roman"/>
          <w:b/>
          <w:bCs/>
        </w:rPr>
        <w:t xml:space="preserve">F3</w:t>
      </w:r>
      <w:r>
        <w:rPr>
          <w:rFonts w:ascii="Times New Roman" w:cs="Times New Roman" w:eastAsia="Times New Roman" w:hAnsi="Times New Roman"/>
        </w:rPr>
        <w:t xml:space="preserve"> estado (UF) · </w:t>
      </w:r>
      <w:r>
        <w:rPr>
          <w:rFonts w:ascii="Times New Roman" w:cs="Times New Roman" w:eastAsia="Times New Roman" w:hAnsi="Times New Roman"/>
          <w:b/>
          <w:bCs/>
        </w:rPr>
        <w:t xml:space="preserve">F4</w:t>
      </w:r>
      <w:r>
        <w:rPr>
          <w:rFonts w:ascii="Times New Roman" w:cs="Times New Roman" w:eastAsia="Times New Roman" w:hAnsi="Times New Roman"/>
        </w:rPr>
        <w:t xml:space="preserve"> categoría · </w:t>
      </w:r>
      <w:r>
        <w:rPr>
          <w:rFonts w:ascii="Times New Roman" w:cs="Times New Roman" w:eastAsia="Times New Roman" w:hAnsi="Times New Roman"/>
          <w:b/>
          <w:bCs/>
        </w:rPr>
        <w:t xml:space="preserve">F5</w:t>
      </w:r>
      <w:r>
        <w:rPr>
          <w:rFonts w:ascii="Times New Roman" w:cs="Times New Roman" w:eastAsia="Times New Roman" w:hAnsi="Times New Roman"/>
        </w:rPr>
        <w:t xml:space="preserve"> medio de pago.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0"/>
        <w:gridCol w:w="1350"/>
        <w:gridCol w:w="1000"/>
        <w:gridCol w:w="2270"/>
        <w:gridCol w:w="2500"/>
      </w:tblGrid>
      <w:tr>
        <w:trPr>
          <w:tblHeader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Componente (página)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Pregunta / KPI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Filtros</w:t>
            </w:r>
          </w:p>
        </w:tc>
        <w:tc>
          <w:tcPr>
            <w:tcW w:type="dxa" w:w="22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Datos utilizados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Vista / Función SQL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Tarjetas KPI (Inicio, Logística)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P1–P3 · KPI 1 a 6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F1–F5</w:t>
            </w:r>
          </w:p>
        </w:tc>
        <w:tc>
          <w:tcPr>
            <w:tcW w:type="dxa" w:w="22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precio, valor_total, valor_flete, flag_a_tiempo, dias_entrega, review_score, order_id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dw.fn_kpis()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Líneas: ingresos por mes (Inicio)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P1 · evolución y variación %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F1–F5</w:t>
            </w:r>
          </w:p>
        </w:tc>
        <w:tc>
          <w:tcPr>
            <w:tcW w:type="dxa" w:w="22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precio + dim_tiempo (año, mes)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dw.fn_ingresos_mensuales()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Barras: CSAT según puntualidad (Inicio)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P3 · KPI 5 y 6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F1–F5</w:t>
            </w:r>
          </w:p>
        </w:tc>
        <w:tc>
          <w:tcPr>
            <w:tcW w:type="dxa" w:w="22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flag_a_tiempo, review_score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dw.fn_csat_por_puntualidad()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Barras: ingresos por categoría (Ventas)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P1 · categorías líderes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F1–F5, Top N</w:t>
            </w:r>
          </w:p>
        </w:tc>
        <w:tc>
          <w:tcPr>
            <w:tcW w:type="dxa" w:w="22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precio + dim_producto.categoria_en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dw.fn_ventas_por_categoria()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Barras: ingresos por estado (Ventas)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P1 · concentración geográfica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F1–F5</w:t>
            </w:r>
          </w:p>
        </w:tc>
        <w:tc>
          <w:tcPr>
            <w:tcW w:type="dxa" w:w="22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precio + dim_cliente (estado, región)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dw.fn_ventas_por_estado()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Barras: medios de pago y ticket por cuotas (Ventas)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F1–F5</w:t>
            </w:r>
          </w:p>
        </w:tc>
        <w:tc>
          <w:tcPr>
            <w:tcW w:type="dxa" w:w="22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dim_pago + valor_total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dw.fn_medios_pago()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Barras: OTD por estado (Logística)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P2 · KPI 3 y 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F1–F5</w:t>
            </w:r>
          </w:p>
        </w:tc>
        <w:tc>
          <w:tcPr>
            <w:tcW w:type="dxa" w:w="22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flag_a_tiempo, dias_entrega + dim_cliente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dw.fn_ventas_por_estado()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Barras: CSAT por días de retraso (Logística)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P3 · KPI 5 y 6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F1–F5</w:t>
            </w:r>
          </w:p>
        </w:tc>
        <w:tc>
          <w:tcPr>
            <w:tcW w:type="dxa" w:w="22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dias_retraso, review_score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dw.fn_csat_por_retraso()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Tabla: detalle por estado (Logística)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P1, 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F1–F5</w:t>
            </w:r>
          </w:p>
        </w:tc>
        <w:tc>
          <w:tcPr>
            <w:tcW w:type="dxa" w:w="22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Igual que OTD por estado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dw.fn_ventas_por_estado()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Tabla: ranking de vendedores (Vendedores)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P2 · retrasos por vendedor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F1–F5, orden, mínimo, filas</w:t>
            </w:r>
          </w:p>
        </w:tc>
        <w:tc>
          <w:tcPr>
            <w:tcW w:type="dxa" w:w="22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precio, flag_a_tiempo, dias_entrega, review_score + dim_vendedor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dw.fn_ranking_vendedores()</w:t>
            </w:r>
          </w:p>
        </w:tc>
      </w:tr>
    </w:tbl>
    <w:p>
      <w:pPr>
        <w:spacing w:after="200" w:before="60"/>
      </w:pPr>
      <w:r>
        <w:rPr>
          <w:rFonts w:ascii="Times New Roman" w:cs="Times New Roman" w:eastAsia="Times New Roman" w:hAnsi="Times New Roman"/>
          <w:i/>
          <w:iCs/>
          <w:color w:val="404040"/>
          <w:sz w:val="18"/>
          <w:szCs w:val="18"/>
        </w:rPr>
        <w:t xml:space="preserve">Tabla 16. Matriz de trazabilidad. Versión ampliada con la trazabilidad de cada filtro en </w:t>
      </w:r>
      <w:r>
        <w:rPr>
          <w:rFonts w:ascii="Consolas" w:cs="Consolas" w:eastAsia="Consolas" w:hAnsi="Consolas"/>
          <w:color w:val="8B1A1A"/>
          <w:sz w:val="16"/>
          <w:szCs w:val="16"/>
        </w:rPr>
        <w:t xml:space="preserve">docs/matriz_trazabilidad.md</w:t>
      </w:r>
      <w:r>
        <w:rPr>
          <w:rFonts w:ascii="Times New Roman" w:cs="Times New Roman" w:eastAsia="Times New Roman" w:hAnsi="Times New Roman"/>
          <w:i/>
          <w:iCs/>
          <w:color w:val="404040"/>
          <w:sz w:val="18"/>
          <w:szCs w:val="18"/>
        </w:rPr>
        <w:t xml:space="preserve">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1900"/>
        <w:gridCol w:w="2000"/>
        <w:gridCol w:w="1700"/>
        <w:gridCol w:w="1770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Filtro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Widget Streamlit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Parámetro SQL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Columna de la vista</w:t>
            </w:r>
          </w:p>
        </w:tc>
        <w:tc>
          <w:tcPr>
            <w:tcW w:type="dxa" w:w="1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Dimensión de origen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F1 Rango de fechas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st.date_input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p_fecha_ini, p_fecha_fin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fecha</w:t>
            </w:r>
          </w:p>
        </w:tc>
        <w:tc>
          <w:tcPr>
            <w:tcW w:type="dxa" w:w="1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dim_tiempo.fecha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F2 Región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st.selectbox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p_region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region_cliente</w:t>
            </w:r>
          </w:p>
        </w:tc>
        <w:tc>
          <w:tcPr>
            <w:tcW w:type="dxa" w:w="1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dim_cliente.region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F3 Estado (UF)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st.selectbox (cascada)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p_estado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estado_cliente</w:t>
            </w:r>
          </w:p>
        </w:tc>
        <w:tc>
          <w:tcPr>
            <w:tcW w:type="dxa" w:w="1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dim_cliente.estado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F4 Categoría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st.selectbox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p_categoria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categoria</w:t>
            </w:r>
          </w:p>
        </w:tc>
        <w:tc>
          <w:tcPr>
            <w:tcW w:type="dxa" w:w="1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dim_producto.categoria_en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F5 Medio de pago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st.selectbox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p_tipo_pago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tipo_pago</w:t>
            </w:r>
          </w:p>
        </w:tc>
        <w:tc>
          <w:tcPr>
            <w:tcW w:type="dxa" w:w="1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dim_pago.tipo_pago</w:t>
            </w:r>
          </w:p>
        </w:tc>
      </w:tr>
    </w:tbl>
    <w:p>
      <w:pPr>
        <w:spacing w:after="200" w:before="60"/>
      </w:pPr>
      <w:r>
        <w:rPr>
          <w:rFonts w:ascii="Times New Roman" w:cs="Times New Roman" w:eastAsia="Times New Roman" w:hAnsi="Times New Roman"/>
          <w:i/>
          <w:iCs/>
          <w:color w:val="404040"/>
          <w:sz w:val="18"/>
          <w:szCs w:val="18"/>
        </w:rPr>
        <w:t xml:space="preserve">Tabla 17. Trazabilidad de los filtros.</w:t>
      </w:r>
    </w:p>
    <w:p>
      <w:pPr>
        <w:pStyle w:val="Heading1"/>
      </w:pPr>
      <w:r>
        <w:t xml:space="preserve">11. Aplicación Python + Streamlit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</w:rPr>
        <w:t xml:space="preserve">La aplicación (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app/</w:t>
      </w:r>
      <w:r>
        <w:rPr>
          <w:rFonts w:ascii="Times New Roman" w:cs="Times New Roman" w:eastAsia="Times New Roman" w:hAnsi="Times New Roman"/>
        </w:rPr>
        <w:t xml:space="preserve">) es multipágina y se ejecuta con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streamlit run app/Inicio.py</w:t>
      </w:r>
      <w:r>
        <w:rPr>
          <w:rFonts w:ascii="Times New Roman" w:cs="Times New Roman" w:eastAsia="Times New Roman" w:hAnsi="Times New Roman"/>
        </w:rPr>
        <w:t xml:space="preserve">. Toda la información proviene de PostgreSQL: el módulo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app/db.py</w:t>
      </w:r>
      <w:r>
        <w:rPr>
          <w:rFonts w:ascii="Times New Roman" w:cs="Times New Roman" w:eastAsia="Times New Roman" w:hAnsi="Times New Roman"/>
        </w:rPr>
        <w:t xml:space="preserve"> abre la conexión con psycopg2 y solo permite invocar las funciones de una lista blanca, con parámetros enlazados (sin concatenar valores del usuario en el SQL).</w:t>
      </w:r>
    </w:p>
    <w:p>
      <w:pPr>
        <w:pStyle w:val="Heading2"/>
      </w:pPr>
      <w:r>
        <w:t xml:space="preserve">11.1 Estructura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2200"/>
        <w:gridCol w:w="3870"/>
      </w:tblGrid>
      <w:tr>
        <w:trPr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Página / función</w:t>
            </w:r>
          </w:p>
        </w:tc>
        <w:tc>
          <w:tcPr>
            <w:tcW w:type="dxa" w:w="3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app/Inicio.py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Página 1 · Resumen ejecutivo</w:t>
            </w:r>
          </w:p>
        </w:tc>
        <w:tc>
          <w:tcPr>
            <w:tcW w:type="dxa" w:w="3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 tarjetas KPI, línea de ingresos mensuales con el pico anotado, barras de CSAT a tiempo vs. con retraso.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app/pages/1_Ventas.py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Página 2 · Ventas</w:t>
            </w:r>
          </w:p>
        </w:tc>
        <w:tc>
          <w:tcPr>
            <w:tcW w:type="dxa" w:w="3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Top N de categorías (control deslizante), 12 estados principales, medios de pago y ticket por cuotas.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app/pages/2_Logistica_y_Satisfaccion.py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Página 3 · Logística y satisfacción</w:t>
            </w:r>
          </w:p>
        </w:tc>
        <w:tc>
          <w:tcPr>
            <w:tcW w:type="dxa" w:w="3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 KPI logísticos, OTD por estado con referencia al promedio, CSAT por tramos de retraso y tabla de detalle por estado.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app/pages/3_Vendedores.py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Página 4 · Vendedores</w:t>
            </w:r>
          </w:p>
        </w:tc>
        <w:tc>
          <w:tcPr>
            <w:tcW w:type="dxa" w:w="3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Ranking con orden por ingreso o % de retraso, pedidos mínimos, número de filas y descarga CSV.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app/componentes.py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Compartido</w:t>
            </w:r>
          </w:p>
        </w:tc>
        <w:tc>
          <w:tcPr>
            <w:tcW w:type="dxa" w:w="3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Barra lateral con los 5 filtros persistentes, formatos (R$, %), estilo de gráficos y expansor «Ver consulta SQL».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app/db.py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Acceso a datos</w:t>
            </w:r>
          </w:p>
        </w:tc>
        <w:tc>
          <w:tcPr>
            <w:tcW w:type="dxa" w:w="3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Conexión, lista blanca de funciones, caché de resultados (10 min) y conversión a DataFrame.</w:t>
            </w:r>
          </w:p>
        </w:tc>
      </w:tr>
    </w:tbl>
    <w:p>
      <w:pPr>
        <w:spacing w:after="200" w:before="60"/>
      </w:pPr>
      <w:r>
        <w:rPr>
          <w:rFonts w:ascii="Times New Roman" w:cs="Times New Roman" w:eastAsia="Times New Roman" w:hAnsi="Times New Roman"/>
          <w:i/>
          <w:iCs/>
          <w:color w:val="404040"/>
          <w:sz w:val="18"/>
          <w:szCs w:val="18"/>
        </w:rPr>
        <w:t xml:space="preserve">Tabla 18. Estructura de la aplicación.</w:t>
      </w:r>
    </w:p>
    <w:p>
      <w:pPr>
        <w:pStyle w:val="Heading2"/>
      </w:pPr>
      <w:r>
        <w:t xml:space="preserve">11.2 Conexión entre Python y PostgreSQL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Extracto de app/db.py · llamada a las funciones SQL</w:t>
      </w:r>
    </w:p>
    <w:p>
      <w:pPr>
        <w:pBdr>
          <w:left w:val="single" w:color="2A78D6" w:sz="12" w:space="6"/>
        </w:pBdr>
        <w:shd w:fill="F4F4F4" w:color="auto" w:val="clear"/>
        <w:spacing w:after="0" w:before="4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@st.cache_data(ttl=600, show_spinner="Consultando PostgreSQL…")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def llamar(funcion: str, **params) -&gt; pd.DataFrame: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"""Llama a una función del esquema dw usando notación con nombre: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SELECT * FROM dw.fn_x(p_fecha_ini =&gt; %(p_fecha_ini)s, ...)"""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if funcion not in FUNCIONES: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    raise ValueError(f"Función no permitida: {funcion}")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args = ", ".join(f"{k} =&gt; %({k})s" for k in params)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return consultar(f"SELECT * FROM dw.{funcion}({args})", params)</w:t>
      </w:r>
    </w:p>
    <w:p>
      <w:pPr>
        <w:spacing w:after="160"/>
      </w:pP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</w:rPr>
        <w:t xml:space="preserve">Cada página arma los parámetros a partir de los filtros y llama, por ejemplo,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llamar("fn_kpis", **p)</w:t>
      </w:r>
      <w:r>
        <w:rPr>
          <w:rFonts w:ascii="Times New Roman" w:cs="Times New Roman" w:eastAsia="Times New Roman" w:hAnsi="Times New Roman"/>
        </w:rPr>
        <w:t xml:space="preserve">, lo que ejecuta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SELECT * FROM dw.fn_kpis(p_fecha_ini =&gt; …, p_region =&gt; …)</w:t>
      </w:r>
      <w:r>
        <w:rPr>
          <w:rFonts w:ascii="Times New Roman" w:cs="Times New Roman" w:eastAsia="Times New Roman" w:hAnsi="Times New Roman"/>
        </w:rPr>
        <w:t xml:space="preserve">. Al cambiar un filtro, Streamlit vuelve a ejecutar la página y la consulta se repite con los nuevos valores; por eso los filtros </w:t>
      </w:r>
      <w:r>
        <w:rPr>
          <w:rFonts w:ascii="Times New Roman" w:cs="Times New Roman" w:eastAsia="Times New Roman" w:hAnsi="Times New Roman"/>
          <w:b/>
          <w:bCs/>
        </w:rPr>
        <w:t xml:space="preserve">afectan realmente</w:t>
      </w:r>
      <w:r>
        <w:rPr>
          <w:rFonts w:ascii="Times New Roman" w:cs="Times New Roman" w:eastAsia="Times New Roman" w:hAnsi="Times New Roman"/>
        </w:rPr>
        <w:t xml:space="preserve"> a las consultas y no a datos precargados.</w:t>
      </w:r>
    </w:p>
    <w:p>
      <w:pPr>
        <w:pStyle w:val="Heading2"/>
      </w:pPr>
      <w:r>
        <w:t xml:space="preserve">11.3 Cumplimiento de los requisitos de la aplicación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1300"/>
        <w:gridCol w:w="4570"/>
      </w:tblGrid>
      <w:tr>
        <w:trPr>
          <w:tblHeader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Mínimo</w:t>
            </w:r>
          </w:p>
        </w:tc>
        <w:tc>
          <w:tcPr>
            <w:tcW w:type="dxa" w:w="4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Conexión real con PostgreSQL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Sí</w:t>
            </w:r>
          </w:p>
        </w:tc>
        <w:tc>
          <w:tcPr>
            <w:tcW w:type="dxa" w:w="4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psycopg2 → funciones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dw.fn_*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(app/db.py)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Vistas, páginas o secciones analíticas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4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 páginas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KPI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</w:t>
            </w:r>
          </w:p>
        </w:tc>
        <w:tc>
          <w:tcPr>
            <w:tcW w:type="dxa" w:w="4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 KPI + 2 indicadores de contexto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Filtros interactivos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</w:t>
            </w:r>
          </w:p>
        </w:tc>
        <w:tc>
          <w:tcPr>
            <w:tcW w:type="dxa" w:w="4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 globales (fechas, región, estado, categoría, medio de pago) + 4 locales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Gráficos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4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 (línea, barras verticales y horizontales)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Tabla o vista de detalle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4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 (detalle por estado y ranking de vendedores, con descarga CSV)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Consultas que responden a las preguntas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P1–P3</w:t>
            </w:r>
          </w:p>
        </w:tc>
        <w:tc>
          <w:tcPr>
            <w:tcW w:type="dxa" w:w="4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P1, P2, P3 y P4 (Tabla 16)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 leer el CSV original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Obligatorio</w:t>
            </w:r>
          </w:p>
        </w:tc>
        <w:tc>
          <w:tcPr>
            <w:tcW w:type="dxa" w:w="4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Cumplido: ningún archivo de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app/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lee CSV; las opciones de los filtros se leen de las dimensiones</w:t>
            </w:r>
          </w:p>
        </w:tc>
      </w:tr>
    </w:tbl>
    <w:p>
      <w:pPr>
        <w:spacing w:after="200" w:before="60"/>
      </w:pPr>
      <w:r>
        <w:rPr>
          <w:rFonts w:ascii="Times New Roman" w:cs="Times New Roman" w:eastAsia="Times New Roman" w:hAnsi="Times New Roman"/>
          <w:i/>
          <w:iCs/>
          <w:color w:val="404040"/>
          <w:sz w:val="18"/>
          <w:szCs w:val="18"/>
        </w:rPr>
        <w:t xml:space="preserve">Tabla 19. Requisitos de la aplicación.</w:t>
      </w:r>
    </w:p>
    <w:p>
      <w:pPr>
        <w:pStyle w:val="Heading1"/>
      </w:pPr>
      <w:r>
        <w:t xml:space="preserve">12. Resultados y análisis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</w:rPr>
        <w:t xml:space="preserve">Los resultados se obtienen de las funciones SQL sin filtros (ene-2017 – ago-2018, pedidos no cancelados), salvo que se indique otra cosa.</w:t>
      </w:r>
    </w:p>
    <w:p>
      <w:pPr>
        <w:pStyle w:val="Heading2"/>
      </w:pPr>
      <w:r>
        <w:t xml:space="preserve">12.1 P1 · Evolución de las ventas, categorías y estados</w:t>
      </w:r>
    </w:p>
    <w:p>
      <w:pPr>
        <w:spacing w:after="60" w:before="120"/>
        <w:jc w:val="center"/>
      </w:pPr>
      <w:r>
        <w:drawing>
          <wp:inline distT="0" distB="0" distL="0" distR="0">
            <wp:extent cx="5619750" cy="35814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404040"/>
          <w:sz w:val="19"/>
          <w:szCs w:val="19"/>
        </w:rPr>
        <w:t xml:space="preserve">Figura 4. Ingresos mensuales (arriba) y % de entregas a tiempo por mes (abajo).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Crecimiento.</w:t>
      </w:r>
      <w:r>
        <w:rPr>
          <w:rFonts w:ascii="Times New Roman" w:cs="Times New Roman" w:eastAsia="Times New Roman" w:hAnsi="Times New Roman"/>
        </w:rPr>
        <w:t xml:space="preserve"> El ingreso de enero–agosto 2018 (R$ 7,34 M) supera en </w:t>
      </w:r>
      <w:r>
        <w:rPr>
          <w:rFonts w:ascii="Times New Roman" w:cs="Times New Roman" w:eastAsia="Times New Roman" w:hAnsi="Times New Roman"/>
          <w:b/>
          <w:bCs/>
        </w:rPr>
        <w:t xml:space="preserve">138,3 %</w:t>
      </w:r>
      <w:r>
        <w:rPr>
          <w:rFonts w:ascii="Times New Roman" w:cs="Times New Roman" w:eastAsia="Times New Roman" w:hAnsi="Times New Roman"/>
        </w:rPr>
        <w:t xml:space="preserve"> al de enero–agosto 2017 (R$ 3,08 M). Desde marzo de 2018 el ingreso mensual se estabiliza entre R$ 0,85 M y R$ 1,0 M.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Estacionalidad.</w:t>
      </w:r>
      <w:r>
        <w:rPr>
          <w:rFonts w:ascii="Times New Roman" w:cs="Times New Roman" w:eastAsia="Times New Roman" w:hAnsi="Times New Roman"/>
        </w:rPr>
        <w:t xml:space="preserve"> Noviembre 2017 es el mes de mayor ingreso: </w:t>
      </w:r>
      <w:r>
        <w:rPr>
          <w:rFonts w:ascii="Times New Roman" w:cs="Times New Roman" w:eastAsia="Times New Roman" w:hAnsi="Times New Roman"/>
          <w:b/>
          <w:bCs/>
        </w:rPr>
        <w:t xml:space="preserve">R$ 1 003 862,14</w:t>
      </w:r>
      <w:r>
        <w:rPr>
          <w:rFonts w:ascii="Times New Roman" w:cs="Times New Roman" w:eastAsia="Times New Roman" w:hAnsi="Times New Roman"/>
        </w:rPr>
        <w:t xml:space="preserve"> y 7 421 pedidos (+52,1 % frente a octubre), efecto del Black Friday.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Categorías.</w:t>
      </w:r>
      <w:r>
        <w:rPr>
          <w:rFonts w:ascii="Times New Roman" w:cs="Times New Roman" w:eastAsia="Times New Roman" w:hAnsi="Times New Roman"/>
        </w:rPr>
        <w:t xml:space="preserve"> Lideran health_beauty (9,3 % del ingreso), watches_gifts (8,9 %) y bed_bath_table (7,7 %); las 10 primeras concentran el 62,6 % del ingreso.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Estados.</w:t>
      </w:r>
      <w:r>
        <w:rPr>
          <w:rFonts w:ascii="Times New Roman" w:cs="Times New Roman" w:eastAsia="Times New Roman" w:hAnsi="Times New Roman"/>
        </w:rPr>
        <w:t xml:space="preserve"> São Paulo aporta el 38,3 % del ingreso, Río de Janeiro el 13,4 % y Minas Gerais el 11,7 % (63,4 % entre los tres); la región Sudeste suma el 65,4 %. En cambio, el ticket promedio es mayor en el Norte (R$ 223,32) y el Nordeste (R$ 201,17) que en el Sudeste (R$ 150,84).</w:t>
      </w:r>
    </w:p>
    <w:p>
      <w:pPr>
        <w:pStyle w:val="Heading2"/>
      </w:pPr>
      <w:r>
        <w:t xml:space="preserve">12.2 P2 · Puntualidad de las entregas</w:t>
      </w:r>
    </w:p>
    <w:p>
      <w:pPr>
        <w:spacing w:after="60" w:before="120"/>
        <w:jc w:val="center"/>
      </w:pPr>
      <w:r>
        <w:drawing>
          <wp:inline distT="0" distB="0" distL="0" distR="0">
            <wp:extent cx="5619750" cy="25527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404040"/>
          <w:sz w:val="19"/>
          <w:szCs w:val="19"/>
        </w:rPr>
        <w:t xml:space="preserve">Figura 5. % de entregas a tiempo por estado del cliente (estados con al menos 100 pedidos).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Nivel general.</w:t>
      </w:r>
      <w:r>
        <w:rPr>
          <w:rFonts w:ascii="Times New Roman" w:cs="Times New Roman" w:eastAsia="Times New Roman" w:hAnsi="Times New Roman"/>
        </w:rPr>
        <w:t xml:space="preserve"> El 93,2 % de los pedidos se entrega a tiempo; los </w:t>
      </w:r>
      <w:r>
        <w:rPr>
          <w:rFonts w:ascii="Times New Roman" w:cs="Times New Roman" w:eastAsia="Times New Roman" w:hAnsi="Times New Roman"/>
          <w:b/>
          <w:bCs/>
        </w:rPr>
        <w:t xml:space="preserve">6 531</w:t>
      </w:r>
      <w:r>
        <w:rPr>
          <w:rFonts w:ascii="Times New Roman" w:cs="Times New Roman" w:eastAsia="Times New Roman" w:hAnsi="Times New Roman"/>
        </w:rPr>
        <w:t xml:space="preserve"> pedidos con retraso llegan en promedio 10,6 días después de la fecha estimada.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Concentración geográfica.</w:t>
      </w:r>
      <w:r>
        <w:rPr>
          <w:rFonts w:ascii="Times New Roman" w:cs="Times New Roman" w:eastAsia="Times New Roman" w:hAnsi="Times New Roman"/>
        </w:rPr>
        <w:t xml:space="preserve"> Los 9 estados del Nordeste están por debajo del promedio: Alagoas (78,5 %), Maranhão (82,5 %) y Sergipe (84,6 %) son los peores. La región Nordeste promedia 87,2 % de puntualidad y 19,9 días de entrega, frente a 93,9 % y 10,7 días del Sudeste.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Río de Janeiro</w:t>
      </w:r>
      <w:r>
        <w:rPr>
          <w:rFonts w:ascii="Times New Roman" w:cs="Times New Roman" w:eastAsia="Times New Roman" w:hAnsi="Times New Roman"/>
        </w:rPr>
        <w:t xml:space="preserve"> tiene el 12,8 % de los pedidos pero genera el </w:t>
      </w:r>
      <w:r>
        <w:rPr>
          <w:rFonts w:ascii="Times New Roman" w:cs="Times New Roman" w:eastAsia="Times New Roman" w:hAnsi="Times New Roman"/>
          <w:b/>
          <w:bCs/>
        </w:rPr>
        <w:t xml:space="preserve">22,9 % de los retrasos</w:t>
      </w:r>
      <w:r>
        <w:rPr>
          <w:rFonts w:ascii="Times New Roman" w:cs="Times New Roman" w:eastAsia="Times New Roman" w:hAnsi="Times New Roman"/>
        </w:rPr>
        <w:t xml:space="preserve">: por volumen, es el estado donde una mejora logística tiene mayor impacto.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Picos de demanda.</w:t>
      </w:r>
      <w:r>
        <w:rPr>
          <w:rFonts w:ascii="Times New Roman" w:cs="Times New Roman" w:eastAsia="Times New Roman" w:hAnsi="Times New Roman"/>
        </w:rPr>
        <w:t xml:space="preserve"> La puntualidad cae a 87,6 % en noviembre 2017 y a 85,9 % y 81,0 % en febrero y marzo 2018 (Figura 4): la operación no escala al mismo ritmo que la demanda.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Vendedores.</w:t>
      </w:r>
      <w:r>
        <w:rPr>
          <w:rFonts w:ascii="Times New Roman" w:cs="Times New Roman" w:eastAsia="Times New Roman" w:hAnsi="Times New Roman"/>
        </w:rPr>
        <w:t xml:space="preserve"> De los 633 vendedores con al menos 30 pedidos, 38 superan el 15 % de pedidos con retraso; representan solo el 3,4 % del ingreso de ese grupo, por lo que pueden corregirse sin riesgo comercial relevante.</w:t>
      </w:r>
    </w:p>
    <w:p>
      <w:pPr>
        <w:pStyle w:val="Heading2"/>
      </w:pPr>
      <w:r>
        <w:t xml:space="preserve">12.3 P3 · Efecto del retraso en la satisfacción</w:t>
      </w:r>
    </w:p>
    <w:p>
      <w:pPr>
        <w:spacing w:after="60" w:before="120"/>
        <w:jc w:val="center"/>
      </w:pPr>
      <w:r>
        <w:drawing>
          <wp:inline distT="0" distB="0" distL="0" distR="0">
            <wp:extent cx="5619750" cy="254317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404040"/>
          <w:sz w:val="19"/>
          <w:szCs w:val="19"/>
        </w:rPr>
        <w:t xml:space="preserve">Figura 6. CSAT promedio según días de diferencia entre la entrega real y la estimada.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imes New Roman" w:cs="Times New Roman" w:eastAsia="Times New Roman" w:hAnsi="Times New Roman"/>
        </w:rPr>
        <w:t xml:space="preserve">Los pedidos entregados a tiempo obtienen un CSAT de </w:t>
      </w:r>
      <w:r>
        <w:rPr>
          <w:rFonts w:ascii="Times New Roman" w:cs="Times New Roman" w:eastAsia="Times New Roman" w:hAnsi="Times New Roman"/>
          <w:b/>
          <w:bCs/>
        </w:rPr>
        <w:t xml:space="preserve">4,29</w:t>
      </w:r>
      <w:r>
        <w:rPr>
          <w:rFonts w:ascii="Times New Roman" w:cs="Times New Roman" w:eastAsia="Times New Roman" w:hAnsi="Times New Roman"/>
        </w:rPr>
        <w:t xml:space="preserve">, frente a </w:t>
      </w:r>
      <w:r>
        <w:rPr>
          <w:rFonts w:ascii="Times New Roman" w:cs="Times New Roman" w:eastAsia="Times New Roman" w:hAnsi="Times New Roman"/>
          <w:b/>
          <w:bCs/>
        </w:rPr>
        <w:t xml:space="preserve">2,27</w:t>
      </w:r>
      <w:r>
        <w:rPr>
          <w:rFonts w:ascii="Times New Roman" w:cs="Times New Roman" w:eastAsia="Times New Roman" w:hAnsi="Times New Roman"/>
        </w:rPr>
        <w:t xml:space="preserve"> de los retrasados (Entregable 2: 89 182 y 6 378 pedidos con reseña, respectivamente): una brecha de 2,02 puntos sobre 5.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imes New Roman" w:cs="Times New Roman" w:eastAsia="Times New Roman" w:hAnsi="Times New Roman"/>
        </w:rPr>
        <w:t xml:space="preserve">El efecto es inmediato y creciente: mientras el pedido llega antes o en la fecha estimada, el CSAT se mantiene entre </w:t>
      </w:r>
      <w:r>
        <w:rPr>
          <w:rFonts w:ascii="Times New Roman" w:cs="Times New Roman" w:eastAsia="Times New Roman" w:hAnsi="Times New Roman"/>
          <w:highlight w:val="yellow"/>
        </w:rPr>
        <w:t xml:space="preserve">4,18 y 4,32</w:t>
      </w:r>
      <w:r>
        <w:rPr>
          <w:rFonts w:ascii="Times New Roman" w:cs="Times New Roman" w:eastAsia="Times New Roman" w:hAnsi="Times New Roman"/>
        </w:rPr>
        <w:t xml:space="preserve">; con 1 a 3 días de retraso cae a </w:t>
      </w:r>
      <w:r>
        <w:rPr>
          <w:rFonts w:ascii="Times New Roman" w:cs="Times New Roman" w:eastAsia="Times New Roman" w:hAnsi="Times New Roman"/>
          <w:highlight w:val="yellow"/>
        </w:rPr>
        <w:t xml:space="preserve">3,28</w:t>
      </w:r>
      <w:r>
        <w:rPr>
          <w:rFonts w:ascii="Times New Roman" w:cs="Times New Roman" w:eastAsia="Times New Roman" w:hAnsi="Times New Roman"/>
        </w:rPr>
        <w:t xml:space="preserve">, con 4 a 7 días a </w:t>
      </w:r>
      <w:r>
        <w:rPr>
          <w:rFonts w:ascii="Times New Roman" w:cs="Times New Roman" w:eastAsia="Times New Roman" w:hAnsi="Times New Roman"/>
          <w:highlight w:val="yellow"/>
        </w:rPr>
        <w:t xml:space="preserve">2,09</w:t>
      </w:r>
      <w:r>
        <w:rPr>
          <w:rFonts w:ascii="Times New Roman" w:cs="Times New Roman" w:eastAsia="Times New Roman" w:hAnsi="Times New Roman"/>
        </w:rPr>
        <w:t xml:space="preserve"> y con más de una semana se estabiliza alrededor de </w:t>
      </w:r>
      <w:r>
        <w:rPr>
          <w:rFonts w:ascii="Times New Roman" w:cs="Times New Roman" w:eastAsia="Times New Roman" w:hAnsi="Times New Roman"/>
          <w:highlight w:val="yellow"/>
        </w:rPr>
        <w:t xml:space="preserve">1,7</w:t>
      </w:r>
      <w:r>
        <w:rPr>
          <w:rFonts w:ascii="Times New Roman" w:cs="Times New Roman" w:eastAsia="Times New Roman" w:hAnsi="Times New Roman"/>
        </w:rPr>
        <w:t xml:space="preserve">, con </w:t>
      </w:r>
      <w:r>
        <w:rPr>
          <w:rFonts w:ascii="Times New Roman" w:cs="Times New Roman" w:eastAsia="Times New Roman" w:hAnsi="Times New Roman"/>
          <w:highlight w:val="yellow"/>
        </w:rPr>
        <w:t xml:space="preserve">≈ 80 %</w:t>
      </w:r>
      <w:r>
        <w:rPr>
          <w:rFonts w:ascii="Times New Roman" w:cs="Times New Roman" w:eastAsia="Times New Roman" w:hAnsi="Times New Roman"/>
        </w:rPr>
        <w:t xml:space="preserve"> de reseñas negativas.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imes New Roman" w:cs="Times New Roman" w:eastAsia="Times New Roman" w:hAnsi="Times New Roman"/>
        </w:rPr>
        <w:t xml:space="preserve">Las regiones con peor puntualidad tienen también el menor CSAT (Nordeste </w:t>
      </w:r>
      <w:r>
        <w:rPr>
          <w:rFonts w:ascii="Times New Roman" w:cs="Times New Roman" w:eastAsia="Times New Roman" w:hAnsi="Times New Roman"/>
          <w:highlight w:val="yellow"/>
        </w:rPr>
        <w:t xml:space="preserve">3,89</w:t>
      </w:r>
      <w:r>
        <w:rPr>
          <w:rFonts w:ascii="Times New Roman" w:cs="Times New Roman" w:eastAsia="Times New Roman" w:hAnsi="Times New Roman"/>
        </w:rPr>
        <w:t xml:space="preserve"> frente a Sudeste </w:t>
      </w:r>
      <w:r>
        <w:rPr>
          <w:rFonts w:ascii="Times New Roman" w:cs="Times New Roman" w:eastAsia="Times New Roman" w:hAnsi="Times New Roman"/>
          <w:highlight w:val="yellow"/>
        </w:rPr>
        <w:t xml:space="preserve">4,13</w:t>
      </w:r>
      <w:r>
        <w:rPr>
          <w:rFonts w:ascii="Times New Roman" w:cs="Times New Roman" w:eastAsia="Times New Roman" w:hAnsi="Times New Roman"/>
        </w:rPr>
        <w:t xml:space="preserve">), lo que confirma la relación a nivel geográfico.</w:t>
      </w:r>
    </w:p>
    <w:p>
      <w:pPr>
        <w:pStyle w:val="Heading2"/>
      </w:pPr>
      <w:r>
        <w:t xml:space="preserve">12.4 P4 · Medios de pago y cuotas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</w:rPr>
        <w:t xml:space="preserve">Según el pago principal, la tarjeta de crédito cubre el 75,5 % de los pedidos, el boleto el 19,9 %, el voucher el 3,1 % y la tarjeta de débito el 1,5 %. El número de cuotas crece con el valor del pedido: el ticket con tarjeta pasa de R$ 100,83 en una cuota a R$ 154,80 en 2–6 cuotas, R$ 333,16 en 7–12 y R$ 417,71 en más de 12.</w:t>
      </w:r>
    </w:p>
    <w:p>
      <w:pPr>
        <w:pStyle w:val="Heading2"/>
      </w:pPr>
      <w:r>
        <w:t xml:space="preserve">12.5 Decisiones que apoya la solución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1500"/>
        <w:gridCol w:w="4270"/>
      </w:tblGrid>
      <w:tr>
        <w:trPr>
          <w:tblHeader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Hallazgo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Usuario</w:t>
            </w:r>
          </w:p>
        </w:tc>
        <w:tc>
          <w:tcPr>
            <w:tcW w:type="dxa" w:w="42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Decisión recomendada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RJ concentra el 22,9 % de los retrasos con el 12,8 % de los pedidos; el Nordeste tiene la peor puntualidad.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Logística</w:t>
            </w:r>
          </w:p>
        </w:tc>
        <w:tc>
          <w:tcPr>
            <w:tcW w:type="dxa" w:w="42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Renegociar o sustituir transportistas en RJ y el Nordeste; recalibrar la fecha estimada por estado para que la promesa sea realista.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La puntualidad cae en Black Friday y en feb–mar 2018.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Logística y gerencia</w:t>
            </w:r>
          </w:p>
        </w:tc>
        <w:tc>
          <w:tcPr>
            <w:tcW w:type="dxa" w:w="42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Reservar capacidad de transporte antes de los picos y ampliar la fecha estimada en campañas de alta demanda.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Con 4 o más días de retraso, la mayoría de las reseñas es negativa.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Servicio al cliente</w:t>
            </w:r>
          </w:p>
        </w:tc>
        <w:tc>
          <w:tcPr>
            <w:tcW w:type="dxa" w:w="42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Alerta automática al superar la fecha estimada: contacto proactivo y cupón de compensación antes de que el cliente califique.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38 vendedores superan el 15 % de retrasos.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Gestión de vendedores</w:t>
            </w:r>
          </w:p>
        </w:tc>
        <w:tc>
          <w:tcPr>
            <w:tcW w:type="dxa" w:w="42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Plan de mejora con plazo; advertencia o suspensión si no mejora; reconocimiento a los vendedores de alto volumen con bajo retraso.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El 63 % del ingreso proviene de SP, RJ y MG, pero el ticket es mayor en el Norte y el Nordeste.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Comercial</w:t>
            </w:r>
          </w:p>
        </w:tc>
        <w:tc>
          <w:tcPr>
            <w:tcW w:type="dxa" w:w="42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Explorar crecimiento en el Nordeste solo después de corregir su logística: hoy el retraso destruye la satisfacción que el mayor ticket podría capitalizar.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Las cuotas acompañan a los pedidos de mayor valor.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Finanzas</w:t>
            </w:r>
          </w:p>
        </w:tc>
        <w:tc>
          <w:tcPr>
            <w:tcW w:type="dxa" w:w="42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Promociones de cuotas sin interés en categorías de ticket alto (watches_gifts, computers_accessories).</w:t>
            </w:r>
          </w:p>
        </w:tc>
      </w:tr>
    </w:tbl>
    <w:p>
      <w:pPr>
        <w:spacing w:after="200" w:before="60"/>
      </w:pPr>
      <w:r>
        <w:rPr>
          <w:rFonts w:ascii="Times New Roman" w:cs="Times New Roman" w:eastAsia="Times New Roman" w:hAnsi="Times New Roman"/>
          <w:i/>
          <w:iCs/>
          <w:color w:val="404040"/>
          <w:sz w:val="18"/>
          <w:szCs w:val="18"/>
        </w:rPr>
        <w:t xml:space="preserve">Tabla 20. De la información a la decisión.</w:t>
      </w:r>
    </w:p>
    <w:p>
      <w:pPr>
        <w:pStyle w:val="Heading1"/>
      </w:pPr>
      <w:r>
        <w:t xml:space="preserve">13. Uso de Inteligencia Artificial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</w:rPr>
        <w:t xml:space="preserve">Se utilizó un asistente de IA generativa como apoyo para diseñar consultas, depurar código e interpretar resultados. Ninguna propuesta se aceptó sin ejecutarla y contrastarla con un cálculo independiente. La Tabla 21 resume los cinco usos más significativos; el detalle completo (prompt, propuesta, adaptación y comprobación) está en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docs/uso_ia.md</w:t>
      </w:r>
      <w:r>
        <w:rPr>
          <w:rFonts w:ascii="Times New Roman" w:cs="Times New Roman" w:eastAsia="Times New Roman" w:hAnsi="Times New Roman"/>
        </w:rPr>
        <w:t xml:space="preserve">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0"/>
        <w:gridCol w:w="1550"/>
        <w:gridCol w:w="1400"/>
        <w:gridCol w:w="1700"/>
        <w:gridCol w:w="1850"/>
        <w:gridCol w:w="2220"/>
      </w:tblGrid>
      <w:tr>
        <w:trPr>
          <w:tblHeader/>
        </w:trPr>
        <w:tc>
          <w:tcPr>
            <w:tcW w:type="dxa" w:w="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Problema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Prompt (resumen)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Propuesta de la IA</w:t>
            </w:r>
          </w:p>
        </w:tc>
        <w:tc>
          <w:tcPr>
            <w:tcW w:type="dxa" w:w="1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Qué se adaptó</w:t>
            </w:r>
          </w:p>
        </w:tc>
        <w:tc>
          <w:tcPr>
            <w:tcW w:type="dxa" w:w="22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Cómo se comprobó</w:t>
            </w:r>
          </w:p>
        </w:tc>
      </w:tr>
      <w:tr>
        <w:trPr>
          <w:cantSplit/>
        </w:trPr>
        <w:tc>
          <w:tcPr>
            <w:tcW w:type="dxa" w:w="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OTD de 91,9 % (pandas) vs. 93,2 % (SQL).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¿Por qué difieren y cuál uso?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La fecha estimada no tiene hora; comparar fechas de calendario.</w:t>
            </w:r>
          </w:p>
        </w:tc>
        <w:tc>
          <w:tcPr>
            <w:tcW w:type="dxa" w:w="1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Comparación por DATE en la tabla de hechos; medidas solo para </w:t>
            </w:r>
            <w:r>
              <w:rPr>
                <w:rFonts w:ascii="Consolas" w:cs="Consolas" w:eastAsia="Consolas" w:hAnsi="Consolas"/>
                <w:color w:val="8B1A1A"/>
                <w:sz w:val="14"/>
                <w:szCs w:val="14"/>
              </w:rPr>
              <w:t xml:space="preserve">delivered</w:t>
            </w: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.</w:t>
            </w:r>
          </w:p>
        </w:tc>
        <w:tc>
          <w:tcPr>
            <w:tcW w:type="dxa" w:w="22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Ambas versiones calculadas: la diferencia son exactamente 1 291 pedidos entregados el mismo día.</w:t>
            </w:r>
          </w:p>
        </w:tc>
      </w:tr>
      <w:tr>
        <w:trPr>
          <w:cantSplit/>
        </w:trPr>
        <w:tc>
          <w:tcPr>
            <w:tcW w:type="dxa" w:w="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La reseña se repite en cada ítem del pedido.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¿Cómo promediar sin sobrecontar?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CTE con </w:t>
            </w:r>
            <w:r>
              <w:rPr>
                <w:rFonts w:ascii="Consolas" w:cs="Consolas" w:eastAsia="Consolas" w:hAnsi="Consolas"/>
                <w:color w:val="8B1A1A"/>
                <w:sz w:val="14"/>
                <w:szCs w:val="14"/>
              </w:rPr>
              <w:t xml:space="preserve">DISTINCT ON (order_id)</w:t>
            </w: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.</w:t>
            </w:r>
          </w:p>
        </w:tc>
        <w:tc>
          <w:tcPr>
            <w:tcW w:type="dxa" w:w="1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Aplicado a 4 funciones; en el ranking, por (vendedor, pedido).</w:t>
            </w:r>
          </w:p>
        </w:tc>
        <w:tc>
          <w:tcPr>
            <w:tcW w:type="dxa" w:w="22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9 767 pedidos con varios ítems; el CSAT por ítem resulta ≈ 0,07 menor. Validación 4c.</w:t>
            </w:r>
          </w:p>
        </w:tc>
      </w:tr>
      <w:tr>
        <w:trPr>
          <w:cantSplit/>
        </w:trPr>
        <w:tc>
          <w:tcPr>
            <w:tcW w:type="dxa" w:w="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Ciudades en múltiples formas e inválidas.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Función pandas para normalizar ciudades.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NFKD + regex; imputar por prefijo postal.</w:t>
            </w:r>
          </w:p>
        </w:tc>
        <w:tc>
          <w:tcPr>
            <w:tcW w:type="dxa" w:w="1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Se añadió quitar la sigla final y el acento agudo.</w:t>
            </w:r>
          </w:p>
        </w:tc>
        <w:tc>
          <w:tcPr>
            <w:tcW w:type="dxa" w:w="22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7 casos revisados a mano; 611 → 581 ciudades; 0 sin ciudad.</w:t>
            </w:r>
          </w:p>
        </w:tc>
      </w:tr>
      <w:tr>
        <w:trPr>
          <w:cantSplit/>
        </w:trPr>
        <w:tc>
          <w:tcPr>
            <w:tcW w:type="dxa" w:w="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Filtros que se reiniciaban al cambiar de página.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¿Cómo conservar filtros en multipágina?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Almacén propio en </w:t>
            </w:r>
            <w:r>
              <w:rPr>
                <w:rFonts w:ascii="Consolas" w:cs="Consolas" w:eastAsia="Consolas" w:hAnsi="Consolas"/>
                <w:color w:val="8B1A1A"/>
                <w:sz w:val="14"/>
                <w:szCs w:val="14"/>
              </w:rPr>
              <w:t xml:space="preserve">st.session_state</w:t>
            </w: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+ </w:t>
            </w:r>
            <w:r>
              <w:rPr>
                <w:rFonts w:ascii="Consolas" w:cs="Consolas" w:eastAsia="Consolas" w:hAnsi="Consolas"/>
                <w:color w:val="8B1A1A"/>
                <w:sz w:val="14"/>
                <w:szCs w:val="14"/>
              </w:rPr>
              <w:t xml:space="preserve">on_change</w:t>
            </w: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.</w:t>
            </w:r>
          </w:p>
        </w:tc>
        <w:tc>
          <w:tcPr>
            <w:tcW w:type="dxa" w:w="1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Filtro de estado en cascada con la región.</w:t>
            </w:r>
          </w:p>
        </w:tc>
        <w:tc>
          <w:tcPr>
            <w:tcW w:type="dxa" w:w="22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Recorrido de las 4 páginas con filtros fijados; combinación sin datos.</w:t>
            </w:r>
          </w:p>
        </w:tc>
      </w:tr>
      <w:tr>
        <w:trPr>
          <w:cantSplit/>
        </w:trPr>
        <w:tc>
          <w:tcPr>
            <w:tcW w:type="dxa" w:w="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Error de sintaxis al ejecutar validaciones desde Python.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¿Por qué falla un comentario?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Un </w:t>
            </w:r>
            <w:r>
              <w:rPr>
                <w:rFonts w:ascii="Consolas" w:cs="Consolas" w:eastAsia="Consolas" w:hAnsi="Consolas"/>
                <w:color w:val="8B1A1A"/>
                <w:sz w:val="14"/>
                <w:szCs w:val="14"/>
              </w:rPr>
              <w:t xml:space="preserve">;</w:t>
            </w: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dentro de un comentario partía la consulta.</w:t>
            </w:r>
          </w:p>
        </w:tc>
        <w:tc>
          <w:tcPr>
            <w:tcW w:type="dxa" w:w="1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Se eliminan comentarios antes de dividir.</w:t>
            </w:r>
          </w:p>
        </w:tc>
        <w:tc>
          <w:tcPr>
            <w:tcW w:type="dxa" w:w="22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Pipeline completo sin errores; 14 consultas en el reporte.</w:t>
            </w:r>
          </w:p>
        </w:tc>
      </w:tr>
    </w:tbl>
    <w:p>
      <w:pPr>
        <w:spacing w:after="200" w:before="60"/>
      </w:pPr>
      <w:r>
        <w:rPr>
          <w:rFonts w:ascii="Times New Roman" w:cs="Times New Roman" w:eastAsia="Times New Roman" w:hAnsi="Times New Roman"/>
          <w:i/>
          <w:iCs/>
          <w:color w:val="404040"/>
          <w:sz w:val="18"/>
          <w:szCs w:val="18"/>
        </w:rPr>
        <w:t xml:space="preserve">Tabla 21. Usos significativos de IA.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Uso responsable.</w:t>
      </w:r>
      <w:r>
        <w:rPr>
          <w:rFonts w:ascii="Times New Roman" w:cs="Times New Roman" w:eastAsia="Times New Roman" w:hAnsi="Times New Roman"/>
        </w:rPr>
        <w:t xml:space="preserve"> La elección del dataset, las preguntas de negocio, la decisión de mantener un único grano de ítem y la interpretación de los resultados son decisiones propias. Todo el código del repositorio puede ser explicado, ejecutado y modificado por la estudiante.</w:t>
      </w:r>
    </w:p>
    <w:p>
      <w:pPr>
        <w:pStyle w:val="Heading1"/>
      </w:pPr>
      <w:r>
        <w:t xml:space="preserve">14. Conclusiones y limitaciones</w:t>
      </w:r>
    </w:p>
    <w:p>
      <w:pPr>
        <w:pStyle w:val="Heading2"/>
      </w:pPr>
      <w:r>
        <w:t xml:space="preserve">14.1 Conclusiones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imes New Roman" w:cs="Times New Roman" w:eastAsia="Times New Roman" w:hAnsi="Times New Roman"/>
        </w:rPr>
        <w:t xml:space="preserve">Se construyó una solución de BI completa y reproducible con un solo comando, desde 9 archivos CSV hasta un dashboard de 4 páginas, con 14 validaciones automáticas que garantizan que los datos presentados coinciden con los originales.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imes New Roman" w:cs="Times New Roman" w:eastAsia="Times New Roman" w:hAnsi="Times New Roman"/>
        </w:rPr>
        <w:t xml:space="preserve">El modelo estrella con grano de ítem permite responder las cuatro preguntas de negocio; los indicadores de nivel pedido se obtienen sin sobreconteo.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imes New Roman" w:cs="Times New Roman" w:eastAsia="Times New Roman" w:hAnsi="Times New Roman"/>
        </w:rPr>
        <w:t xml:space="preserve">La hipótesis del Entregable 1 se confirma y se cuantifica: la puntualidad es el principal determinante de la satisfacción. Un retraso de 4 días o más reduce el CSAT a menos de la mitad.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imes New Roman" w:cs="Times New Roman" w:eastAsia="Times New Roman" w:hAnsi="Times New Roman"/>
        </w:rPr>
        <w:t xml:space="preserve">El problema logístico está localizado (Río de Janeiro, el Nordeste, los meses pico y un grupo reducido de vendedores), lo que permite acciones focalizadas en lugar de cambios generales.</w:t>
      </w:r>
    </w:p>
    <w:p>
      <w:pPr>
        <w:pStyle w:val="Heading2"/>
      </w:pPr>
      <w:r>
        <w:t xml:space="preserve">14.2 Limitaciones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imes New Roman" w:cs="Times New Roman" w:eastAsia="Times New Roman" w:hAnsi="Times New Roman"/>
        </w:rPr>
        <w:t xml:space="preserve">El dataset no incluye la transportista ni costos operativos, por lo que el retraso solo puede atribuirse a estado, mes o vendedor.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imes New Roman" w:cs="Times New Roman" w:eastAsia="Times New Roman" w:hAnsi="Times New Roman"/>
        </w:rPr>
        <w:t xml:space="preserve">Los pedidos sin ítems (739 en el período) no forman parte de la tabla de hechos; la tasa de cancelación total requeriría una tabla de hechos a nivel de pedido.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imes New Roman" w:cs="Times New Roman" w:eastAsia="Times New Roman" w:hAnsi="Times New Roman"/>
        </w:rPr>
        <w:t xml:space="preserve">El análisis es descriptivo: la relación retraso–satisfacción es consistente y fuerte, pero no constituye por sí sola una prueba causal.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imes New Roman" w:cs="Times New Roman" w:eastAsia="Times New Roman" w:hAnsi="Times New Roman"/>
        </w:rPr>
        <w:t xml:space="preserve">Los datos terminan en agosto de 2018; el dashboard describe un período histórico y no se actualiza en línea.</w:t>
      </w:r>
    </w:p>
    <w:p>
      <w:pPr>
        <w:pStyle w:val="Heading1"/>
      </w:pPr>
      <w:r>
        <w:t xml:space="preserve">15. Entrega, ejecución y video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Repositorio:</w:t>
      </w:r>
      <w:r>
        <w:rPr>
          <w:rFonts w:ascii="Times New Roman" w:cs="Times New Roman" w:eastAsia="Times New Roman" w:hAnsi="Times New Roman"/>
        </w:rPr>
        <w:t xml:space="preserve"> https://github.com/MariaLlerenaHernandez/Brazilian-E-Commerce-Public-Dataset-by-Olist. El archivo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README.md</w:t>
      </w:r>
      <w:r>
        <w:rPr>
          <w:rFonts w:ascii="Times New Roman" w:cs="Times New Roman" w:eastAsia="Times New Roman" w:hAnsi="Times New Roman"/>
        </w:rPr>
        <w:t xml:space="preserve"> contiene las instrucciones completas. Resumen de ejecución: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Ejecución</w:t>
      </w:r>
    </w:p>
    <w:p>
      <w:pPr>
        <w:pBdr>
          <w:left w:val="single" w:color="2A78D6" w:sz="12" w:space="6"/>
        </w:pBdr>
        <w:shd w:fill="F4F4F4" w:color="auto" w:val="clear"/>
        <w:spacing w:after="0" w:before="4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pip install -r requirements.txt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docker compose up -d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python etl/run_pipeline.py</w:t>
      </w:r>
    </w:p>
    <w:p>
      <w:pPr>
        <w:pBdr>
          <w:left w:val="single" w:color="2A78D6" w:sz="12" w:space="6"/>
        </w:pBdr>
        <w:shd w:fill="F4F4F4" w:color="auto" w:val="clear"/>
        <w:spacing w:after="0" w:before="0" w:line="23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streamlit run app/Inicio.py</w:t>
      </w:r>
    </w:p>
    <w:p>
      <w:pPr>
        <w:spacing w:after="16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00"/>
        <w:gridCol w:w="5170"/>
      </w:tblGrid>
      <w:tr>
        <w:trPr>
          <w:tblHeader/>
        </w:trPr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Componente exigido</w:t>
            </w:r>
          </w:p>
        </w:tc>
        <w:tc>
          <w:tcPr>
            <w:tcW w:type="dxa" w:w="5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Ubicación en el repositorio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Documento final del proyecto</w:t>
            </w:r>
          </w:p>
        </w:tc>
        <w:tc>
          <w:tcPr>
            <w:tcW w:type="dxa" w:w="5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docs/Entregable3_Informe_Final.docx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Enlace, descripción y justificación del dataset</w:t>
            </w:r>
          </w:p>
        </w:tc>
        <w:tc>
          <w:tcPr>
            <w:tcW w:type="dxa" w:w="5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Secciones 2.1–2.5 · data/README.md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Preguntas de negocio y KPI</w:t>
            </w:r>
          </w:p>
        </w:tc>
        <w:tc>
          <w:tcPr>
            <w:tcW w:type="dxa" w:w="5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Sección 3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Limpieza y transformación</w:t>
            </w:r>
          </w:p>
        </w:tc>
        <w:tc>
          <w:tcPr>
            <w:tcW w:type="dxa" w:w="5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Sección 4 · etl/01_perfilado.py, etl/02_limpieza.py · reports/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Modelo dimensional, diagrama estrella y granularidad</w:t>
            </w:r>
          </w:p>
        </w:tc>
        <w:tc>
          <w:tcPr>
            <w:tcW w:type="dxa" w:w="5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Sección 5 · docs/img/diagrama_estrella.png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Scripts SQL de creación</w:t>
            </w:r>
          </w:p>
        </w:tc>
        <w:tc>
          <w:tcPr>
            <w:tcW w:type="dxa" w:w="5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sql/01_staging.sql, sql/02_dw_tablas.sql, sql/07_restricciones.sql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Scripts o proceso de carga</w:t>
            </w:r>
          </w:p>
        </w:tc>
        <w:tc>
          <w:tcPr>
            <w:tcW w:type="dxa" w:w="5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etl/03_carga.py, sql/03_dimensiones.sql, sql/04_fact_ventas.sql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Consultas de validación</w:t>
            </w:r>
          </w:p>
        </w:tc>
        <w:tc>
          <w:tcPr>
            <w:tcW w:type="dxa" w:w="5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sql/05_validaciones.sql · reports/validaciones.md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Vistas y funciones SQL</w:t>
            </w:r>
          </w:p>
        </w:tc>
        <w:tc>
          <w:tcPr>
            <w:tcW w:type="dxa" w:w="5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sql/06_funciones.sql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Mockup</w:t>
            </w:r>
          </w:p>
        </w:tc>
        <w:tc>
          <w:tcPr>
            <w:tcW w:type="dxa" w:w="5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Sección 9 · docs/img/mockup_dashboard.png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Matriz de trazabilidad</w:t>
            </w:r>
          </w:p>
        </w:tc>
        <w:tc>
          <w:tcPr>
            <w:tcW w:type="dxa" w:w="5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Sección 10 · docs/matriz_trazabilidad.md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Código fuente Python y proyecto Streamlit</w:t>
            </w:r>
          </w:p>
        </w:tc>
        <w:tc>
          <w:tcPr>
            <w:tcW w:type="dxa" w:w="5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etl/ · app/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README con instrucciones de ejecución</w:t>
            </w:r>
          </w:p>
        </w:tc>
        <w:tc>
          <w:tcPr>
            <w:tcW w:type="dxa" w:w="5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README.md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Evidencias de uso de IA</w:t>
            </w:r>
          </w:p>
        </w:tc>
        <w:tc>
          <w:tcPr>
            <w:tcW w:type="dxa" w:w="5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Sección 13 · docs/uso_ia.md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Video individual de 3 a 5 minutos</w:t>
            </w:r>
          </w:p>
        </w:tc>
        <w:tc>
          <w:tcPr>
            <w:tcW w:type="dxa" w:w="5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highlight w:val="yellow"/>
              </w:rPr>
              <w:t xml:space="preserve">[enlace al video]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· guion en docs/guion_video.md</w:t>
            </w:r>
          </w:p>
        </w:tc>
      </w:tr>
    </w:tbl>
    <w:p>
      <w:pPr>
        <w:spacing w:after="200" w:before="60"/>
      </w:pPr>
      <w:r>
        <w:rPr>
          <w:rFonts w:ascii="Times New Roman" w:cs="Times New Roman" w:eastAsia="Times New Roman" w:hAnsi="Times New Roman"/>
          <w:i/>
          <w:iCs/>
          <w:color w:val="404040"/>
          <w:sz w:val="18"/>
          <w:szCs w:val="18"/>
        </w:rPr>
        <w:t xml:space="preserve">Tabla 22. Lista de verificación de la entrega final.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Video.</w:t>
      </w:r>
      <w:r>
        <w:rPr>
          <w:rFonts w:ascii="Times New Roman" w:cs="Times New Roman" w:eastAsia="Times New Roman" w:hAnsi="Times New Roman"/>
        </w:rPr>
        <w:t xml:space="preserve"> El guion (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docs/guion_video.md</w:t>
      </w:r>
      <w:r>
        <w:rPr>
          <w:rFonts w:ascii="Times New Roman" w:cs="Times New Roman" w:eastAsia="Times New Roman" w:hAnsi="Times New Roman"/>
        </w:rPr>
        <w:t xml:space="preserve">) está distribuido en 4 min 30 s: problema y dataset (0:00), modelo y granularidad (0:30), PostgreSQL y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fn_kpis()</w:t>
      </w:r>
      <w:r>
        <w:rPr>
          <w:rFonts w:ascii="Times New Roman" w:cs="Times New Roman" w:eastAsia="Times New Roman" w:hAnsi="Times New Roman"/>
        </w:rPr>
        <w:t xml:space="preserve"> en Adminer (1:10), KPI y gráficos (1:50), cambio del filtro de región a Nordeste (2:40), resultado relevante y decisión (3:20) y uso de IA (4:05).</w:t>
      </w:r>
    </w:p>
    <w:p>
      <w:r>
        <w:br w:type="page"/>
      </w:r>
    </w:p>
    <w:p>
      <w:pPr>
        <w:pStyle w:val="Heading1"/>
      </w:pPr>
      <w:r>
        <w:t xml:space="preserve">Anexo A. Evidencias de ejecución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highlight w:val="yellow"/>
        </w:rPr>
        <w:t xml:space="preserve">Insertar aquí las capturas de pantalla tomadas en el equipo de la estudiante tras ejecutar el pipeline y la aplicación. Eliminar este párrafo al completar el anexo.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highlight w:val="yellow"/>
        </w:rPr>
        <w:t xml:space="preserve">[Figura A1. Terminal con la salida de python etl/run_pipeline.py («Carga finalizada correctamente»).]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highlight w:val="yellow"/>
        </w:rPr>
        <w:t xml:space="preserve">[Figura A2. Adminer: tablas del esquema dw con su número de filas.]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highlight w:val="yellow"/>
        </w:rPr>
        <w:t xml:space="preserve">[Figura A3. Adminer: resultado de SELECT * FROM dw.fn_kpis();.]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highlight w:val="yellow"/>
        </w:rPr>
        <w:t xml:space="preserve">[Figura A4. Streamlit · Inicio sin filtros (KPI y dos gráficos).]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highlight w:val="yellow"/>
        </w:rPr>
        <w:t xml:space="preserve">[Figura A5. Streamlit · Logística y satisfacción con el filtro Región: Nordeste.]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highlight w:val="yellow"/>
        </w:rPr>
        <w:t xml:space="preserve">[Figura A6. Streamlit · Vendedores ordenado por % con retraso (mínimo 30 pedidos).]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highlight w:val="yellow"/>
        </w:rPr>
        <w:t xml:space="preserve">[Figura A7. Prueba de la restricción CHECK rechazando un review_score de 9.]</w:t>
      </w:r>
    </w:p>
    <w:p>
      <w:pPr>
        <w:pStyle w:val="Heading1"/>
      </w:pPr>
      <w:r>
        <w:t xml:space="preserve">Referencias</w:t>
      </w:r>
    </w:p>
    <w:p>
      <w:pPr>
        <w:spacing w:after="100" w:line="280"/>
        <w:ind w:left="567" w:hanging="567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Olist. (2018).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Brazilian E-Commerce Public Dataset by Olist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[Conjunto de datos]. Kaggle. https://www.kaggle.com/datasets/olistbr/brazilian-ecommerce</w:t>
      </w:r>
    </w:p>
    <w:p>
      <w:pPr>
        <w:spacing w:after="100" w:line="280"/>
        <w:ind w:left="567" w:hanging="567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Kimball, R. y Ross, M. (2013).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The Data Warehouse Toolkit: The Definitive Guide to Dimensional Modeling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(3.ª ed.). Wiley.</w:t>
      </w:r>
    </w:p>
    <w:p>
      <w:pPr>
        <w:spacing w:after="100" w:line="280"/>
        <w:ind w:left="567" w:hanging="567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PostgreSQL Global Development Group. (2024).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PostgreSQL 16 Documentation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https://www.postgresql.org/docs/16/</w:t>
      </w:r>
    </w:p>
    <w:p>
      <w:pPr>
        <w:spacing w:after="100" w:line="280"/>
        <w:ind w:left="567" w:hanging="567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Streamlit Inc. (2025).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Streamlit documentation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https://docs.streamlit.io</w:t>
      </w:r>
    </w:p>
    <w:p>
      <w:pPr>
        <w:spacing w:after="100" w:line="280"/>
        <w:ind w:left="567" w:hanging="567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pandas development team. (2024).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pandas documentation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https://pandas.pydata.org/docs/</w:t>
      </w:r>
    </w:p>
    <w:sectPr>
      <w:headerReference w:type="default" r:id="rId6"/>
      <w:footerReference w:type="default" r:id="rId7"/>
      <w:pgSz w:w="11906" w:h="16838" w:orient="portrait"/>
      <w:pgMar w:top="1418" w:right="1418" w:bottom="1418" w:left="1418" w:header="708" w:footer="708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A6A6" w:sz="4" w:space="4"/>
      </w:pBdr>
      <w:jc w:val="right"/>
    </w:pPr>
    <w:r>
      <w:rPr>
        <w:rFonts w:ascii="Times New Roman" w:cs="Times New Roman" w:eastAsia="Times New Roman" w:hAnsi="Times New Roman"/>
        <w:color w:val="595959"/>
        <w:sz w:val="17"/>
        <w:szCs w:val="17"/>
      </w:rPr>
      <w:t xml:space="preserve">Entregable 3 · Análisis de ventas, entregas y satisfacción · Olist 2017–2018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7" w:hanging="283"/>
      </w:pPr>
    </w:lvl>
    <w:lvl w:ilvl="1" w:tentative="1">
      <w:start w:val="1"/>
      <w:numFmt w:val="bullet"/>
      <w:lvlText w:val="–"/>
      <w:lvlJc w:val="left"/>
      <w:pPr>
        <w:ind w:left="1134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9e5b36f4dc0c65fdfce2e47604589c595d1f87cd.png"/><Relationship Id="rId10" Type="http://schemas.openxmlformats.org/officeDocument/2006/relationships/image" Target="media/708d02975c7fe4d7d8fc90b2299280767f86e439.png"/><Relationship Id="rId11" Type="http://schemas.openxmlformats.org/officeDocument/2006/relationships/image" Target="media/a4b40dc91e245f516c80a3b169e8ecb53f79ded0.png"/><Relationship Id="rId12" Type="http://schemas.openxmlformats.org/officeDocument/2006/relationships/image" Target="media/06079312633e135f160034cef693e95cda36c0f6.png"/><Relationship Id="rId13" Type="http://schemas.openxmlformats.org/officeDocument/2006/relationships/image" Target="media/349204ca4e390514d085643b78884dc6d59ed120.png"/><Relationship Id="rId14" Type="http://schemas.openxmlformats.org/officeDocument/2006/relationships/image" Target="media/2c0ccfb2c6faa3e4d1d3673d20965e31e32f4782.png"/><Relationship Id="rId15" Type="http://schemas.openxmlformats.org/officeDocument/2006/relationships/image" Target="media/24b656d26b99ec1dcba99d1096c11bad31032673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Entregable 3 · Mi primer dashboard · Olist</dc:title>
  <dc:creator>María de los Ángeles Llerena Hernández</dc:creator>
  <cp:lastModifiedBy>Un-named</cp:lastModifiedBy>
  <cp:revision>1</cp:revision>
  <dcterms:created xsi:type="dcterms:W3CDTF">2026-10-26T01:37:59.952Z</dcterms:created>
  <dcterms:modified xsi:type="dcterms:W3CDTF">2026-10-26T01:37:59.960Z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