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Домашнее задание. Семинар 2</w:t>
      </w:r>
    </w:p>
    <w:p w:rsidR="00000000" w:rsidDel="00000000" w:rsidP="00000000" w:rsidRDefault="00000000" w:rsidRPr="00000000" w14:paraId="00000002">
      <w:pPr>
        <w:jc w:val="center"/>
        <w:rPr>
          <w:rFonts w:ascii="IBM Plex Sans" w:cs="IBM Plex Sans" w:eastAsia="IBM Plex Sans" w:hAnsi="IBM Plex Sans"/>
          <w:b w:val="1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8"/>
          <w:szCs w:val="28"/>
          <w:rtl w:val="0"/>
        </w:rPr>
        <w:t xml:space="preserve">Отчет о тестировании функционала </w:t>
      </w:r>
    </w:p>
    <w:p w:rsidR="00000000" w:rsidDel="00000000" w:rsidP="00000000" w:rsidRDefault="00000000" w:rsidRPr="00000000" w14:paraId="00000003">
      <w:pPr>
        <w:jc w:val="center"/>
        <w:rPr>
          <w:rFonts w:ascii="IBM Plex Sans" w:cs="IBM Plex Sans" w:eastAsia="IBM Plex Sans" w:hAnsi="IBM Plex Sans"/>
          <w:sz w:val="28"/>
          <w:szCs w:val="28"/>
        </w:rPr>
      </w:pPr>
      <w:r w:rsidDel="00000000" w:rsidR="00000000" w:rsidRPr="00000000">
        <w:rPr>
          <w:rFonts w:ascii="IBM Plex Sans" w:cs="IBM Plex Sans" w:eastAsia="IBM Plex Sans" w:hAnsi="IBM Plex Sans"/>
          <w:sz w:val="28"/>
          <w:szCs w:val="28"/>
          <w:rtl w:val="0"/>
        </w:rPr>
        <w:t xml:space="preserve">“Создание публикации”</w:t>
      </w:r>
    </w:p>
    <w:p w:rsidR="00000000" w:rsidDel="00000000" w:rsidP="00000000" w:rsidRDefault="00000000" w:rsidRPr="00000000" w14:paraId="00000004">
      <w:pPr>
        <w:jc w:val="center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18"/>
          <w:szCs w:val="18"/>
          <w:rtl w:val="0"/>
        </w:rPr>
        <w:t xml:space="preserve">*запрашивать доступ к файлу не надо*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Информацию о проекте.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Необходимо протестировать функционал, который на текущий момент реализован на стороне бэка – создание тестового пользователя (2.2. Лента своих постов и 2.3. Лента чужих постов). Описание функционала доступно по ссылке: </w:t>
      </w:r>
      <w:hyperlink r:id="rId6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Семинар 2. Практика. Создание публикации</w:t>
        </w:r>
      </w:hyperlink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Команда тестировщиков.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 таблице указан список специалистов, задействованных в тестировании проекта, с указанием закрепленного за каждым участником тестируемого функционала.</w:t>
      </w:r>
    </w:p>
    <w:tbl>
      <w:tblPr>
        <w:tblStyle w:val="Table1"/>
        <w:tblW w:w="8709.0" w:type="dxa"/>
        <w:jc w:val="left"/>
        <w:tblInd w:w="3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3540"/>
        <w:gridCol w:w="2194.5"/>
        <w:gridCol w:w="2194.5"/>
        <w:tblGridChange w:id="0">
          <w:tblGrid>
            <w:gridCol w:w="780"/>
            <w:gridCol w:w="3540"/>
            <w:gridCol w:w="2194.5"/>
            <w:gridCol w:w="219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ФИО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Функционал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Зиннатшин Дамир Фадисович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QA - инженер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IBM Plex Sans" w:cs="IBM Plex Sans" w:eastAsia="IBM Plex Sans" w:hAnsi="IBM Plex Sans"/>
                <w:sz w:val="20"/>
                <w:szCs w:val="20"/>
              </w:rPr>
            </w:pPr>
            <w:r w:rsidDel="00000000" w:rsidR="00000000" w:rsidRPr="00000000">
              <w:rPr>
                <w:rFonts w:ascii="IBM Plex Sans" w:cs="IBM Plex Sans" w:eastAsia="IBM Plex Sans" w:hAnsi="IBM Plex Sans"/>
                <w:sz w:val="20"/>
                <w:szCs w:val="20"/>
                <w:rtl w:val="0"/>
              </w:rPr>
              <w:t xml:space="preserve">Тестирование раздела “Создание публикации”</w:t>
            </w:r>
          </w:p>
        </w:tc>
      </w:tr>
    </w:tbl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right="32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Описание процесса тестирования.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0000ff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В качестве тестовой документации были составлены чек-листы. Выбор был сделан в пользу них, так как это сократило продолжительность составления тестовой документации и позволило увеличить время, выделенное на составление тестовых коллекций в Postman . Тестовая документация находится по адресу: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0000ff"/>
          <w:sz w:val="20"/>
          <w:szCs w:val="20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Зиннатшин Дамир, группа 4069, урок 2, шаблон для чек-листов и баг-репортов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Результат прогона тест-рана: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</w:rPr>
        <w:drawing>
          <wp:inline distB="114300" distT="114300" distL="114300" distR="114300">
            <wp:extent cx="5731200" cy="1689100"/>
            <wp:effectExtent b="0" l="0" r="0" t="0"/>
            <wp:docPr id="3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8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Коллекция с запросами в Postman доступна по следующему адресу: 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hyperlink r:id="rId9">
        <w:r w:rsidDel="00000000" w:rsidR="00000000" w:rsidRPr="00000000">
          <w:rPr>
            <w:rFonts w:ascii="IBM Plex Sans" w:cs="IBM Plex Sans" w:eastAsia="IBM Plex Sans" w:hAnsi="IBM Plex Sans"/>
            <w:color w:val="1155cc"/>
            <w:sz w:val="20"/>
            <w:szCs w:val="20"/>
            <w:u w:val="single"/>
            <w:rtl w:val="0"/>
          </w:rPr>
          <w:t xml:space="preserve">https://drive.google.com/file/d/1Y1cwXxtUbs3-4b9OfPlJOL25uata2AOl/view?usp=sharing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Каждый запрос был покрыт тестами, результат прогона всей коллекции можно видеть на скриншоте ниже: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color w:val="ff0000"/>
          <w:sz w:val="20"/>
          <w:szCs w:val="20"/>
        </w:rPr>
        <w:drawing>
          <wp:inline distB="114300" distT="114300" distL="114300" distR="114300">
            <wp:extent cx="5731200" cy="3937000"/>
            <wp:effectExtent b="0" l="0" r="0" t="0"/>
            <wp:docPr id="4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color w:val="ff0000"/>
          <w:sz w:val="20"/>
          <w:szCs w:val="20"/>
        </w:rPr>
        <w:drawing>
          <wp:inline distB="114300" distT="114300" distL="114300" distR="114300">
            <wp:extent cx="5731200" cy="39751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color w:val="ff0000"/>
          <w:sz w:val="20"/>
          <w:szCs w:val="20"/>
        </w:rPr>
        <w:drawing>
          <wp:inline distB="114300" distT="114300" distL="114300" distR="114300">
            <wp:extent cx="5731200" cy="39878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color w:val="ff0000"/>
          <w:sz w:val="20"/>
          <w:szCs w:val="20"/>
        </w:rPr>
        <w:drawing>
          <wp:inline distB="114300" distT="114300" distL="114300" distR="114300">
            <wp:extent cx="5731200" cy="40132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color w:val="ff0000"/>
          <w:sz w:val="20"/>
          <w:szCs w:val="20"/>
        </w:rPr>
        <w:drawing>
          <wp:inline distB="114300" distT="114300" distL="114300" distR="114300">
            <wp:extent cx="5731200" cy="68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b w:val="1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Статистика по дефектам.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ff0000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Заведенные баг-репорты можно найти по следующему адресу: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color w:val="0000ff"/>
          <w:sz w:val="20"/>
          <w:szCs w:val="20"/>
        </w:rPr>
      </w:pPr>
      <w:hyperlink r:id="rId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Зиннатшин Дамир, группа 4069, урок 2, шаблон для чек-листов и баг-репортов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Из 7 заведённых багов 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right="3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7 – имеют статус open.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720" w:right="320" w:hanging="36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7 – имеют серьёзность major.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b w:val="1"/>
          <w:sz w:val="20"/>
          <w:szCs w:val="20"/>
          <w:rtl w:val="0"/>
        </w:rPr>
        <w:t xml:space="preserve">Качество объекта тестирования</w:t>
      </w: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Fonts w:ascii="IBM Plex Sans" w:cs="IBM Plex Sans" w:eastAsia="IBM Plex Sans" w:hAnsi="IBM Plex Sans"/>
          <w:sz w:val="20"/>
          <w:szCs w:val="20"/>
          <w:rtl w:val="0"/>
        </w:rPr>
        <w:t xml:space="preserve">Исходя из вышеизложенных данных, можно сделать вывод, что имеются достаточно серьёзные баги, влияющие на правильную работу сайта. Необходимо предоставить отделу разработки возможность устранить дефекты с последующим повторением тестирования в рамках новых оговоренных сроков. Я не рекомендую поставку данной версии пользователям. Версия ограниченно пригодна для ознакомления с возможностями сайта. 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32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right="32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180" w:lineRule="auto"/>
        <w:ind w:left="0" w:right="320" w:firstLine="0"/>
        <w:rPr>
          <w:rFonts w:ascii="IBM Plex Sans" w:cs="IBM Plex Sans" w:eastAsia="IBM Plex Sans" w:hAnsi="IBM Plex San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5.jpg"/><Relationship Id="rId13" Type="http://schemas.openxmlformats.org/officeDocument/2006/relationships/image" Target="media/image2.jpg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Y1cwXxtUbs3-4b9OfPlJOL25uata2AOl/view?usp=sharing" TargetMode="External"/><Relationship Id="rId15" Type="http://schemas.openxmlformats.org/officeDocument/2006/relationships/hyperlink" Target="https://docs.google.com/spreadsheets/d/1MfWFHRqDguI3Y3A08Z9Z4fVfWihvP8p5YH5zo4xU74Q/edit#gid=129259580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gP_qB-ogul8Nwa603Wxsd2VfC4Pya6BI9stNVyCwp74/edit?usp=sharing" TargetMode="External"/><Relationship Id="rId7" Type="http://schemas.openxmlformats.org/officeDocument/2006/relationships/hyperlink" Target="https://docs.google.com/spreadsheets/d/1MfWFHRqDguI3Y3A08Z9Z4fVfWihvP8p5YH5zo4xU74Q/edit#gid=129259580" TargetMode="External"/><Relationship Id="rId8" Type="http://schemas.openxmlformats.org/officeDocument/2006/relationships/image" Target="media/image6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