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B45309"/>
        </w:rPr>
        <w:t xml:space="preserve">DRAFT — FOR INTERNAL REVIEW ONLY. Not for client distribution until reviewed, fees entered, and readiness check cleared.</w:t>
      </w:r>
    </w:p>
    <w:p>
      <w:pPr>
        <w:spacing w:after="80"/>
      </w:pPr>
      <w:r>
        <w:t xml:space="preserve"/>
      </w:r>
    </w:p>
    <w:p>
      <w:pPr>
        <w:spacing w:after="120"/>
      </w:pPr>
      <w:r>
        <w:rPr>
          <w:b/>
          <w:bCs/>
          <w:color w:val="2C5F5F"/>
          <w:sz w:val="48"/>
          <w:szCs w:val="48"/>
        </w:rPr>
        <w:t xml:space="preserve">15 Avalon Road, Avalon – Hydrological Engineering (Phases 3–5)</w:t>
      </w:r>
    </w:p>
    <w:p>
      <w:pPr>
        <w:spacing w:after="80"/>
      </w:pPr>
      <w:r>
        <w:rPr>
          <w:color w:val="555555"/>
          <w:sz w:val="26"/>
          <w:szCs w:val="26"/>
        </w:rPr>
        <w:t xml:space="preserve">Hydrological and drainage engineering – stormwater management strategy, drainage asset management, integrated water management, functional design, and asset costing</w:t>
      </w:r>
    </w:p>
    <w:p>
      <w:pPr>
        <w:spacing w:after="60"/>
      </w:pPr>
      <w:r>
        <w:rPr>
          <w:sz w:val="24"/>
          <w:szCs w:val="24"/>
        </w:rPr>
        <w:t xml:space="preserve">Client: LIVV (Level 3/50 Market St, Melbourne 3000)</w:t>
      </w:r>
    </w:p>
    <w:p>
      <w:pPr>
        <w:spacing w:after="60"/>
      </w:pPr>
      <w:r>
        <w:rPr>
          <w:sz w:val="24"/>
          <w:szCs w:val="24"/>
        </w:rPr>
        <w:t xml:space="preserve">Site: 15 Avalon Road, Avalon, VIC (Greater Avalon Employment Precinct West – 140 ha industrial subdivision)</w:t>
      </w:r>
    </w:p>
    <w:p>
      <w:pPr>
        <w:spacing w:after="60"/>
      </w:pPr>
      <w:r>
        <w:rPr>
          <w:sz w:val="24"/>
          <w:szCs w:val="24"/>
        </w:rPr>
        <w:t xml:space="preserve">Prepared by: Rain Consulting Pty Ltd</w:t>
      </w:r>
    </w:p>
    <w:p>
      <w:pPr>
        <w:spacing w:after="240"/>
      </w:pPr>
      <w:r>
        <w:rPr>
          <w:sz w:val="24"/>
          <w:szCs w:val="24"/>
        </w:rPr>
        <w:t xml:space="preserve">Date: 1 July 2026</w:t>
      </w:r>
    </w:p>
    <w:p>
      <w:pPr>
        <w:pageBreakBefore/>
      </w:pPr>
      <w:r>
        <w:t xml:space="preserve"/>
      </w:r>
    </w:p>
    <w:p>
      <w:pPr>
        <w:pStyle w:val="Heading1"/>
        <w:spacing w:after="120" w:before="360"/>
      </w:pPr>
      <w:r>
        <w:rPr>
          <w:color w:val="2C5F5F"/>
        </w:rP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5F5F" w:val="solid"/>
            <w:tcMar>
              <w:top w:type="dxa" w:w="80"/>
              <w:left w:type="dxa" w:w="120"/>
              <w:bottom w:type="dxa" w:w="80"/>
              <w:right w:type="dxa" w:w="120"/>
            </w:tcMar>
          </w:tcPr>
          <w:p>
            <w:r>
              <w:rPr>
                <w:b/>
                <w:bCs/>
                <w:color w:val="ffffff"/>
              </w:rPr>
              <w:t xml:space="preserve">Revision</w:t>
            </w:r>
          </w:p>
        </w:tc>
        <w:tc>
          <w:tcPr>
            <w:shd w:color="2C5F5F" w:val="solid"/>
            <w:tcMar>
              <w:top w:type="dxa" w:w="80"/>
              <w:left w:type="dxa" w:w="120"/>
              <w:bottom w:type="dxa" w:w="80"/>
              <w:right w:type="dxa" w:w="120"/>
            </w:tcMar>
          </w:tcPr>
          <w:p>
            <w:r>
              <w:rPr>
                <w:b/>
                <w:bCs/>
                <w:color w:val="ffffff"/>
              </w:rPr>
              <w:t xml:space="preserve">Date</w:t>
            </w:r>
          </w:p>
        </w:tc>
        <w:tc>
          <w:tcPr>
            <w:shd w:color="2C5F5F" w:val="solid"/>
            <w:tcMar>
              <w:top w:type="dxa" w:w="80"/>
              <w:left w:type="dxa" w:w="120"/>
              <w:bottom w:type="dxa" w:w="80"/>
              <w:right w:type="dxa" w:w="120"/>
            </w:tcMar>
          </w:tcPr>
          <w:p>
            <w:r>
              <w:rPr>
                <w:b/>
                <w:bCs/>
                <w:color w:val="ffffff"/>
              </w:rPr>
              <w:t xml:space="preserve">Author</w:t>
            </w:r>
          </w:p>
        </w:tc>
        <w:tc>
          <w:tcPr>
            <w:shd w:color="2C5F5F" w:val="solid"/>
            <w:tcMar>
              <w:top w:type="dxa" w:w="80"/>
              <w:left w:type="dxa" w:w="120"/>
              <w:bottom w:type="dxa" w:w="80"/>
              <w:right w:type="dxa" w:w="120"/>
            </w:tcMar>
          </w:tcPr>
          <w:p>
            <w:r>
              <w:rPr>
                <w:b/>
                <w:bCs/>
                <w:color w:val="ffffff"/>
              </w:rPr>
              <w:t xml:space="preserve">Reviewer</w:t>
            </w:r>
          </w:p>
        </w:tc>
        <w:tc>
          <w:tcPr>
            <w:shd w:color="2C5F5F" w:val="solid"/>
            <w:tcMar>
              <w:top w:type="dxa" w:w="80"/>
              <w:left w:type="dxa" w:w="120"/>
              <w:bottom w:type="dxa" w:w="80"/>
              <w:right w:type="dxa" w:w="120"/>
            </w:tcMar>
          </w:tcPr>
          <w:p>
            <w:r>
              <w:rPr>
                <w:b/>
                <w:bCs/>
                <w:color w:val="ffffff"/>
              </w:rPr>
              <w:t xml:space="preserve">Status</w:t>
            </w:r>
          </w:p>
        </w:tc>
      </w:tr>
      <w:tr>
        <w:tc>
          <w:tcPr>
            <w:tcMar>
              <w:top w:type="dxa" w:w="80"/>
              <w:left w:type="dxa" w:w="120"/>
              <w:bottom w:type="dxa" w:w="80"/>
              <w:right w:type="dxa" w:w="120"/>
            </w:tcMar>
          </w:tcPr>
          <w:p>
            <w:r>
              <w:t xml:space="preserve">R01</w:t>
            </w:r>
          </w:p>
        </w:tc>
        <w:tc>
          <w:tcPr>
            <w:tcMar>
              <w:top w:type="dxa" w:w="80"/>
              <w:left w:type="dxa" w:w="120"/>
              <w:bottom w:type="dxa" w:w="80"/>
              <w:right w:type="dxa" w:w="120"/>
            </w:tcMar>
          </w:tcPr>
          <w:p>
            <w:r>
              <w:t xml:space="preserve">01/07/2026</w:t>
            </w:r>
          </w:p>
        </w:tc>
        <w:tc>
          <w:tcPr>
            <w:tcMar>
              <w:top w:type="dxa" w:w="80"/>
              <w:left w:type="dxa" w:w="120"/>
              <w:bottom w:type="dxa" w:w="80"/>
              <w:right w:type="dxa" w:w="120"/>
            </w:tcMar>
          </w:tcPr>
          <w:p>
            <w:r>
              <w:t xml:space="preserve">Rain Consulting</w:t>
            </w:r>
          </w:p>
        </w:tc>
        <w:tc>
          <w:tcPr>
            <w:tcMar>
              <w:top w:type="dxa" w:w="80"/>
              <w:left w:type="dxa" w:w="120"/>
              <w:bottom w:type="dxa" w:w="80"/>
              <w:right w:type="dxa" w:w="120"/>
            </w:tcMar>
          </w:tcPr>
          <w:p>
            <w:r>
              <w:t xml:space="preserve">[Reviewer]</w:t>
            </w:r>
          </w:p>
        </w:tc>
        <w:tc>
          <w:tcPr>
            <w:tcMar>
              <w:top w:type="dxa" w:w="80"/>
              <w:left w:type="dxa" w:w="120"/>
              <w:bottom w:type="dxa" w:w="80"/>
              <w:right w:type="dxa" w:w="120"/>
            </w:tcMar>
          </w:tcPr>
          <w:p>
            <w:r>
              <w:t xml:space="preserve">DRAFT — Internal only</w:t>
            </w:r>
          </w:p>
        </w:tc>
      </w:tr>
    </w:tbl>
    <w:p>
      <w:pPr>
        <w:spacing w:after="80"/>
      </w:pPr>
      <w:r>
        <w:t xml:space="preserve"/>
      </w:r>
    </w:p>
    <w:p>
      <w:pPr>
        <w:pageBreakBefore/>
      </w:pPr>
      <w:r>
        <w:t xml:space="preserve"/>
      </w:r>
    </w:p>
    <w:p>
      <w:pPr>
        <w:pStyle w:val="Heading1"/>
        <w:spacing w:after="120" w:before="360"/>
      </w:pPr>
      <w:r>
        <w:rPr>
          <w:color w:val="2C5F5F"/>
        </w:rPr>
        <w:t xml:space="preserve">Executive Summary</w:t>
      </w:r>
    </w:p>
    <w:p>
      <w:pPr>
        <w:spacing w:after="120"/>
      </w:pPr>
      <w:r>
        <w:t xml:space="preserve">Rain Consulting is pleased to present this fee proposal to LIVV for the delivery of hydrological and drainage engineering services across Phases 3 through 5 of the 15 Avalon Road, Avalon project. The site is a 140-hectare industrial subdivision located within the Greater Avalon Employment Precinct (GAEP) and is subject to Development Plan Overlay 50 (DPO50). Rain Consulting has completed Phases 1 and 2 of this project, establishing the catchment hydrology and preliminary concept design. This proposal addresses the remaining water-related engineering required to satisfy Clause 4.0 of DPO50 and achieve the necessary planning and authority approvals to enable subdivision and development.</w:t>
      </w:r>
    </w:p>
    <w:p>
      <w:pPr>
        <w:spacing w:after="80"/>
      </w:pPr>
      <w:r>
        <w:t xml:space="preserve"/>
      </w:r>
    </w:p>
    <w:p>
      <w:pPr>
        <w:spacing w:after="120"/>
      </w:pPr>
      <w:r>
        <w:t xml:space="preserve">The scope of services encompasses five distinct but interrelated work phases: a Drainage and Stormwater Management Strategy (Phase 3.1) requiring approval from both the Corangamite Catchment Management Authority (CCMA) and the City of Greater Geelong (CoGG); a Drainage Asset Management Plan (Phase 3.2) for CoGG approval; an Integrated Water Management Plan (Phase 3.3) for CoGG approval; Functional Design Plans and Report (Phase 4) to CoGG approval standard; and Asset Costing (Phase 5.1) calculated on a percentage-of-construction-cost basis per the ACEA sliding scale methodology. Ongoing technical advice and authority response work is included as a time-and-materials allowance under Phase 5.2.</w:t>
      </w:r>
    </w:p>
    <w:p>
      <w:pPr>
        <w:spacing w:after="80"/>
      </w:pPr>
      <w:r>
        <w:t xml:space="preserve"/>
      </w:r>
    </w:p>
    <w:p>
      <w:pPr>
        <w:spacing w:after="120"/>
      </w:pPr>
      <w:r>
        <w:t xml:space="preserve">Rain Consulting's established familiarity with the site, the DPO50 framework, the existing RORB and MUSIC model base, and the relevant referral authority requirements positions Rain as best placed to deliver this work efficiently and with continuity of technical knowledge. All deliverables will be prepared in accordance with the applicable DPO50 conditions, CoGG engineering standards, CCMA requirements, EPA guidance (Doc No 1739.1.202), and Australian Rainfall and Runoff 2019 (ARR2019) best practice.</w:t>
      </w:r>
    </w:p>
    <w:p>
      <w:pPr>
        <w:spacing w:after="80"/>
      </w:pPr>
      <w:r>
        <w:t xml:space="preserve"/>
      </w:r>
    </w:p>
    <w:p>
      <w:pPr>
        <w:spacing w:after="120"/>
      </w:pPr>
      <w:r>
        <w:t xml:space="preserve">---</w:t>
      </w:r>
    </w:p>
    <w:p>
      <w:pPr>
        <w:spacing w:after="80"/>
      </w:pPr>
      <w:r>
        <w:t xml:space="preserve"/>
      </w:r>
    </w:p>
    <w:p>
      <w:pPr>
        <w:pStyle w:val="Heading1"/>
        <w:spacing w:after="120" w:before="360"/>
      </w:pPr>
      <w:r>
        <w:rPr>
          <w:color w:val="2C5F5F"/>
        </w:rPr>
        <w:t xml:space="preserve">Project Understanding</w:t>
      </w:r>
    </w:p>
    <w:p>
      <w:pPr>
        <w:spacing w:after="120"/>
      </w:pPr>
      <w:r>
        <w:t xml:space="preserve">Rain Consulting received the request for quotation on 29 May 2026, seeking a fee proposal for hydrological engineering services across Phases 3 to 5 at 15 Avalon Road, Avalon. The brief is based on the water-related plan requirements under Clause 4.0 of DPO50, which applies to the Greater Avalon Employment Precinct and governs the conditions under which subdivision and development approvals can proceed. The DPO50 panel hearing has been completed and gazettal of the planning scheme amendment is to follow, meaning the regulatory framework is now substantially settled and the technical work required to satisfy Clause 4.0 can be progressed with confidence.</w:t>
      </w:r>
    </w:p>
    <w:p>
      <w:pPr>
        <w:spacing w:after="80"/>
      </w:pPr>
      <w:r>
        <w:t xml:space="preserve"/>
      </w:r>
    </w:p>
    <w:p>
      <w:pPr>
        <w:spacing w:after="120"/>
      </w:pPr>
      <w:r>
        <w:t xml:space="preserve">Phases 1 and 2 of hydrological investigation have been completed by Rain Consulting. These phases established the catchment hydrology, preliminary RORB modelling, and a concept-level stormwater strategy for the precinct. The current proposal picks up from that foundation and takes the project through to functional design and asset costing — the deliverables required to achieve CoGG and CCMA approval and ultimately enable subdivision.</w:t>
      </w:r>
    </w:p>
    <w:p>
      <w:pPr>
        <w:spacing w:after="80"/>
      </w:pPr>
      <w:r>
        <w:t xml:space="preserve"/>
      </w:r>
    </w:p>
    <w:p>
      <w:pPr>
        <w:spacing w:after="120"/>
      </w:pPr>
      <w:r>
        <w:t xml:space="preserve">The services are required at this stage of the project because DPO50 Clause 4.0 mandates the preparation and approval of specific water-related plans before subdivision permits can be granted or infrastructure construction can commence. Specifically, the Drainage and Stormwater Management Strategy must be endorsed by both CCMA and CoGG; the Drainage Asset Management Plan and Integrated Water Management Plan must be approved by CoGG; and the Functional Design must be completed and approved before detailed design and construction procurement can proceed. The Asset Costing work under Phase 5.1 is required to support infrastructure contribution plan (ICP) or development contributions plan (DCP) submissions and to enable equitable cost apportionment across the landowner group.</w:t>
      </w:r>
    </w:p>
    <w:p>
      <w:pPr>
        <w:spacing w:after="80"/>
      </w:pPr>
      <w:r>
        <w:t xml:space="preserve"/>
      </w:r>
    </w:p>
    <w:p>
      <w:pPr>
        <w:spacing w:after="120"/>
      </w:pPr>
      <w:r>
        <w:t xml:space="preserve">The scope as briefed is well-defined at the phase level. However, several details relevant to fee certainty — including the client contact name, submission deadline, anticipated start date, and the status of Environmental Impact Assessment (EIA) work informing the IWM volume reduction targets — have not been provided and are noted as gaps in this proposal.</w:t>
      </w:r>
    </w:p>
    <w:p>
      <w:pPr>
        <w:spacing w:after="80"/>
      </w:pPr>
      <w:r>
        <w:t xml:space="preserve"/>
      </w:r>
    </w:p>
    <w:p>
      <w:pPr>
        <w:spacing w:after="120"/>
      </w:pPr>
      <w:r>
        <w:t xml:space="preserve">---</w:t>
      </w:r>
    </w:p>
    <w:p>
      <w:pPr>
        <w:spacing w:after="80"/>
      </w:pPr>
      <w:r>
        <w:t xml:space="preserve"/>
      </w:r>
    </w:p>
    <w:p>
      <w:pPr>
        <w:pStyle w:val="Heading1"/>
        <w:spacing w:after="120" w:before="360"/>
      </w:pPr>
      <w:r>
        <w:rPr>
          <w:color w:val="2C5F5F"/>
        </w:rPr>
        <w:t xml:space="preserve">Site and Planning Context</w:t>
      </w:r>
    </w:p>
    <w:p>
      <w:pPr>
        <w:spacing w:after="120"/>
      </w:pPr>
      <w:r>
        <w:t xml:space="preserve">The subject site is located at 15 Avalon Road, Avalon, Victoria, approximately 20 kilometres south-west of Geelong CBD and adjacent to the Avalon Airport precinct. The site forms part of the Greater Avalon Employment Precinct West and comprises approximately 140 hectares proposed for industrial subdivision. The surrounding land use context includes the Avalon Airport operations precinct to the north-east, rural and semi-rural land to the west and south, and environmental constraints including Ramsar-listed wetlands and the Avalon Coastal Reserve in the broader catchment area.</w:t>
      </w:r>
    </w:p>
    <w:p>
      <w:pPr>
        <w:spacing w:after="80"/>
      </w:pPr>
      <w:r>
        <w:t xml:space="preserve"/>
      </w:r>
    </w:p>
    <w:p>
      <w:pPr>
        <w:spacing w:after="120"/>
      </w:pPr>
      <w:r>
        <w:t xml:space="preserve">The site falls within the local government area of the City of Greater Geelong (CoGG). The relevant planning instrument is the Greater Geelong Planning Scheme, under which the site is subject to Development Plan Overlay 50 (DPO50). DPO50 has been prepared specifically for the GAEP and establishes the requirements for water-related plans under Clause 4.0, which this scope of work is designed to satisfy. The DPO50 panel hearing process has concluded and gazettal of the amendment is anticipated to follow in due course.</w:t>
      </w:r>
    </w:p>
    <w:p>
      <w:pPr>
        <w:spacing w:after="80"/>
      </w:pPr>
      <w:r>
        <w:t xml:space="preserve"/>
      </w:r>
    </w:p>
    <w:p>
      <w:pPr>
        <w:spacing w:after="120"/>
      </w:pPr>
      <w:r>
        <w:t xml:space="preserve">Additional planning controls that may apply to the site or its catchment — including Special Building Overlay (SBO), Land Subject to Inundation Overlay (LSIO), Floodway Overlay (FO), or Environmental Significance Overlay (ESO) — have not been confirmed in the brief. Rain has assumed these overlays are consistent with those reviewed during Phases 1 and 2 and will be confirmed at project commencement by reviewing the current planning scheme. The proximity to Ramsar wetlands and the Avalon Coastal Reserve is a material environmental constraint that influences the design of drainage outfalls, stormwater treatment standards, and IWM objectives. This will be addressed through the DSMS and IWM Plan.</w:t>
      </w:r>
    </w:p>
    <w:p>
      <w:pPr>
        <w:spacing w:after="80"/>
      </w:pPr>
      <w:r>
        <w:t xml:space="preserve"/>
      </w:r>
    </w:p>
    <w:p>
      <w:pPr>
        <w:spacing w:after="120"/>
      </w:pPr>
      <w:r>
        <w:t xml:space="preserve">Traditional owner information, council zoning confirmation, and existing infrastructure data are noted as "Not provided" in the planning research results supplied with the brief. These items are flagged in the Required Input Data and Assumptions sections of this proposal.</w:t>
      </w:r>
    </w:p>
    <w:p>
      <w:pPr>
        <w:spacing w:after="80"/>
      </w:pPr>
      <w:r>
        <w:t xml:space="preserve"/>
      </w:r>
    </w:p>
    <w:p>
      <w:pPr>
        <w:spacing w:after="120"/>
      </w:pPr>
      <w:r>
        <w:t xml:space="preserve">---</w:t>
      </w:r>
    </w:p>
    <w:p>
      <w:pPr>
        <w:pStyle w:val="Heading2"/>
        <w:spacing w:after="80" w:before="240"/>
      </w:pPr>
      <w:r>
        <w:rPr>
          <w:b/>
          <w:bCs/>
          <w:color w:val="2C5F5F"/>
        </w:rPr>
        <w:t xml:space="preserve">Planning Research Summary</w:t>
      </w:r>
    </w:p>
    <w:p>
      <w:pPr>
        <w:spacing w:after="120"/>
      </w:pPr>
      <w:r>
        <w:rPr>
          <w:i/>
          <w:iCs/>
        </w:rPr>
        <w:t xml:space="preserve">The following was identified from public sources during proposal preparation. Confirm all details before issuing.</w:t>
      </w:r>
    </w:p>
    <w:p>
      <w:pPr>
        <w:spacing w:after="100"/>
      </w:pPr>
      <w:r>
        <w:rPr>
          <w:b/>
          <w:bCs/>
        </w:rPr>
        <w:t xml:space="preserve">Traditional Owners / RAP: </w:t>
      </w:r>
      <w:r>
        <w:t xml:space="preserve">Not researched</w:t>
      </w:r>
    </w:p>
    <w:p>
      <w:pPr>
        <w:spacing w:after="100"/>
      </w:pPr>
      <w:r>
        <w:rPr>
          <w:b/>
          <w:bCs/>
        </w:rPr>
        <w:t xml:space="preserve">Responsible Council: </w:t>
      </w:r>
      <w:r>
        <w:t xml:space="preserve">Not researched</w:t>
      </w:r>
    </w:p>
    <w:p>
      <w:pPr>
        <w:spacing w:after="100"/>
      </w:pPr>
      <w:r>
        <w:rPr>
          <w:b/>
          <w:bCs/>
        </w:rPr>
        <w:t xml:space="preserve">Catchment Management Authority: </w:t>
      </w:r>
      <w:r>
        <w:t xml:space="preserve">Not researched</w:t>
      </w:r>
    </w:p>
    <w:p>
      <w:pPr>
        <w:spacing w:after="100"/>
      </w:pPr>
      <w:r>
        <w:rPr>
          <w:b/>
          <w:bCs/>
        </w:rPr>
        <w:t xml:space="preserve">Water Authority: </w:t>
      </w:r>
      <w:r>
        <w:t xml:space="preserve">Not researched</w:t>
      </w:r>
    </w:p>
    <w:p>
      <w:pPr>
        <w:spacing w:after="100"/>
      </w:pPr>
      <w:r>
        <w:rPr>
          <w:b/>
          <w:bCs/>
        </w:rPr>
        <w:t xml:space="preserve">Planning Controls: </w:t>
      </w:r>
      <w:r>
        <w:t xml:space="preserve">Not researched</w:t>
      </w:r>
    </w:p>
    <w:p>
      <w:pPr>
        <w:spacing w:after="100"/>
      </w:pPr>
      <w:r>
        <w:rPr>
          <w:b/>
          <w:bCs/>
        </w:rPr>
        <w:t xml:space="preserve">Existing Flood Models: </w:t>
      </w:r>
      <w:r>
        <w:t xml:space="preserve">Not researched</w:t>
      </w:r>
    </w:p>
    <w:p>
      <w:pPr>
        <w:spacing w:after="80"/>
      </w:pPr>
      <w:r>
        <w:t xml:space="preserve"/>
      </w:r>
    </w:p>
    <w:p>
      <w:pPr>
        <w:pStyle w:val="Heading1"/>
        <w:spacing w:after="120" w:before="360"/>
      </w:pPr>
      <w:r>
        <w:rPr>
          <w:color w:val="2C5F5F"/>
        </w:rPr>
        <w:t xml:space="preserve">Traditional Owners and Authority Context</w:t>
      </w:r>
    </w:p>
    <w:p>
      <w:pPr>
        <w:spacing w:after="120"/>
      </w:pPr>
      <w:r>
        <w:t xml:space="preserve">Traditional Owners: Not provided in the brief. Rain Consulting notes that the site is located in south-western Victoria. Identification of the relevant Registered Aboriginal Party (RAP) should be confirmed by the client through the Victorian Aboriginal Heritage Council register prior to commencement. This is relevant to the extent that any ground disturbance, site investigation, or survey work is undertaken as part of this scope, and to the appropriate acknowledgement of Country in formal documents submitted to authorities. Rain's scope does not include Cultural Heritage Management Plan (CHMP) preparation or Aboriginal heritage assessment; these are explicitly excluded.</w:t>
      </w:r>
    </w:p>
    <w:p>
      <w:pPr>
        <w:spacing w:after="80"/>
      </w:pPr>
      <w:r>
        <w:t xml:space="preserve"/>
      </w:r>
    </w:p>
    <w:p>
      <w:pPr>
        <w:spacing w:after="120"/>
      </w:pPr>
      <w:r>
        <w:t xml:space="preserve">City of Greater Geelong (CoGG): CoGG is the responsible authority under the Greater Geelong Planning Scheme. CoGG approval is required for Phase 3.1 (DSMS), Phase 3.2 (Drainage Asset Management Plan), Phase 3.3 (IWM Plan), and Phase 4 (Functional Design Plans and Report). CoGG's engineering standards and drainage guidelines will govern the design parameters applied throughout Phases 3 and 4.</w:t>
      </w:r>
    </w:p>
    <w:p>
      <w:pPr>
        <w:spacing w:after="80"/>
      </w:pPr>
      <w:r>
        <w:t xml:space="preserve"/>
      </w:r>
    </w:p>
    <w:p>
      <w:pPr>
        <w:spacing w:after="120"/>
      </w:pPr>
      <w:r>
        <w:t xml:space="preserve">Corangamite Catchment Management Authority (CCMA): The CCMA is a referral authority for drainage and waterway matters within its jurisdiction. CCMA approval is specifically required for Phase 3.1, the Drainage and Stormwater Management Strategy. The CCMA's involvement reflects the site's location within a catchment that drains toward Ramsar-listed wetlands and the Avalon Coastal Reserve. CCMA may also have an interest in IWM outcomes; their participation in stakeholder workshops under Phase 3.3 is included in scope.</w:t>
      </w:r>
    </w:p>
    <w:p>
      <w:pPr>
        <w:spacing w:after="80"/>
      </w:pPr>
      <w:r>
        <w:t xml:space="preserve"/>
      </w:r>
    </w:p>
    <w:p>
      <w:pPr>
        <w:spacing w:after="120"/>
      </w:pPr>
      <w:r>
        <w:t xml:space="preserve">Barwon Water: Barwon Water is the regional water corporation responsible for potable water supply and sewerage services in the Greater Geelong region. Barwon Water is identified as a key stakeholder for the IWM options workshops under Phase 3.3. Their input will inform stormwater reuse and potable water substitution opportunities considered in the IWM Plan.</w:t>
      </w:r>
    </w:p>
    <w:p>
      <w:pPr>
        <w:spacing w:after="80"/>
      </w:pPr>
      <w:r>
        <w:t xml:space="preserve"/>
      </w:r>
    </w:p>
    <w:p>
      <w:pPr>
        <w:spacing w:after="120"/>
      </w:pPr>
      <w:r>
        <w:t xml:space="preserve">Environment Protection Authority (EPA) Victoria: The EPA's Urban Stormwater Management Guidance (Document No 1739.1.202) is referenced in DPO50 Clause 4.0 as an applicable standard. While EPA is not identified as a formal referral authority for approval, compliance with this guidance will be demonstrated in the DSMS and IWM Plan deliverables.</w:t>
      </w:r>
    </w:p>
    <w:p>
      <w:pPr>
        <w:spacing w:after="80"/>
      </w:pPr>
      <w:r>
        <w:t xml:space="preserve"/>
      </w:r>
    </w:p>
    <w:p>
      <w:pPr>
        <w:spacing w:after="120"/>
      </w:pPr>
      <w:r>
        <w:t xml:space="preserve">---</w:t>
      </w:r>
    </w:p>
    <w:p>
      <w:pPr>
        <w:spacing w:after="80"/>
      </w:pPr>
      <w:r>
        <w:t xml:space="preserve"/>
      </w:r>
    </w:p>
    <w:p>
      <w:pPr>
        <w:pStyle w:val="Heading1"/>
        <w:spacing w:after="120" w:before="360"/>
      </w:pPr>
      <w:r>
        <w:rPr>
          <w:color w:val="2C5F5F"/>
        </w:rPr>
        <w:t xml:space="preserve">Existing Model and Data Search</w:t>
      </w:r>
    </w:p>
    <w:p>
      <w:pPr>
        <w:spacing w:after="120"/>
      </w:pPr>
      <w:r>
        <w:t xml:space="preserve">Rain Consulting has an established model base for this project from Phases 1 and 2. The following assets are understood to be held by Rain or available from prior work:</w:t>
      </w:r>
    </w:p>
    <w:p>
      <w:pPr>
        <w:spacing w:after="80"/>
      </w:pPr>
      <w:r>
        <w:t xml:space="preserve"/>
      </w:r>
    </w:p>
    <w:p>
      <w:pPr>
        <w:pStyle w:val="ListParagraph"/>
        <w:numPr>
          <w:ilvl w:val="0"/>
          <w:numId w:val="2"/>
        </w:numPr>
        <w:spacing w:after="80"/>
      </w:pPr>
      <w:r>
        <w:t xml:space="preserve">RORB catchment hydrological model covering existing and proposed developed conditions, prepared during Phase 1 and 2 investigations</w:t>
      </w:r>
    </w:p>
    <w:p>
      <w:pPr>
        <w:pStyle w:val="ListParagraph"/>
        <w:numPr>
          <w:ilvl w:val="0"/>
          <w:numId w:val="2"/>
        </w:numPr>
        <w:spacing w:after="80"/>
      </w:pPr>
      <w:r>
        <w:t xml:space="preserve">MUSIC stormwater quality model prepared during earlier phases to assess treatment train performance</w:t>
      </w:r>
    </w:p>
    <w:p>
      <w:pPr>
        <w:pStyle w:val="ListParagraph"/>
        <w:numPr>
          <w:ilvl w:val="0"/>
          <w:numId w:val="2"/>
        </w:numPr>
        <w:spacing w:after="80"/>
      </w:pPr>
      <w:r>
        <w:t xml:space="preserve">Preliminary concept drainage layout and retarding basin sizing from Phase 2</w:t>
      </w:r>
    </w:p>
    <w:p>
      <w:pPr>
        <w:pStyle w:val="ListParagraph"/>
        <w:numPr>
          <w:ilvl w:val="0"/>
          <w:numId w:val="2"/>
        </w:numPr>
        <w:spacing w:after="80"/>
      </w:pPr>
      <w:r>
        <w:t xml:space="preserve">Catchment plan and background catchment analysis documentation</w:t>
      </w:r>
    </w:p>
    <w:p>
      <w:pPr>
        <w:pStyle w:val="ListParagraph"/>
        <w:numPr>
          <w:ilvl w:val="0"/>
          <w:numId w:val="2"/>
        </w:numPr>
        <w:spacing w:after="80"/>
      </w:pPr>
      <w:r>
        <w:t xml:space="preserve">Phase 1 and Phase 2 reports and supporting calculations</w:t>
      </w:r>
    </w:p>
    <w:p>
      <w:pPr>
        <w:spacing w:after="80"/>
      </w:pPr>
      <w:r>
        <w:t xml:space="preserve"/>
      </w:r>
    </w:p>
    <w:p>
      <w:pPr>
        <w:spacing w:after="120"/>
      </w:pPr>
      <w:r>
        <w:t xml:space="preserve">The following data is assumed to be available from prior work or to be provided by the client prior to commencement of Phase 3:</w:t>
      </w:r>
    </w:p>
    <w:p>
      <w:pPr>
        <w:spacing w:after="80"/>
      </w:pPr>
      <w:r>
        <w:t xml:space="preserve"/>
      </w:r>
    </w:p>
    <w:p>
      <w:pPr>
        <w:pStyle w:val="ListParagraph"/>
        <w:numPr>
          <w:ilvl w:val="0"/>
          <w:numId w:val="2"/>
        </w:numPr>
        <w:spacing w:after="80"/>
      </w:pPr>
      <w:r>
        <w:t xml:space="preserve">LiDAR terrain data covering the site and relevant catchment area (resolution and vintage to be confirmed)</w:t>
      </w:r>
    </w:p>
    <w:p>
      <w:pPr>
        <w:pStyle w:val="ListParagraph"/>
        <w:numPr>
          <w:ilvl w:val="0"/>
          <w:numId w:val="2"/>
        </w:numPr>
        <w:spacing w:after="80"/>
      </w:pPr>
      <w:r>
        <w:t xml:space="preserve">Aerial imagery (current vintage preferred — to be confirmed)</w:t>
      </w:r>
    </w:p>
    <w:p>
      <w:pPr>
        <w:pStyle w:val="ListParagraph"/>
        <w:numPr>
          <w:ilvl w:val="0"/>
          <w:numId w:val="2"/>
        </w:numPr>
        <w:spacing w:after="80"/>
      </w:pPr>
      <w:r>
        <w:t xml:space="preserve">As-constructed or concept drainage infrastructure drawings for any existing assets on or adjacent to the site</w:t>
      </w:r>
    </w:p>
    <w:p>
      <w:pPr>
        <w:pStyle w:val="ListParagraph"/>
        <w:numPr>
          <w:ilvl w:val="0"/>
          <w:numId w:val="2"/>
        </w:numPr>
        <w:spacing w:after="80"/>
      </w:pPr>
      <w:r>
        <w:t xml:space="preserve">Any drainage or flood studies previously completed for adjacent catchments or the broader GAEP</w:t>
      </w:r>
    </w:p>
    <w:p>
      <w:pPr>
        <w:pStyle w:val="ListParagraph"/>
        <w:numPr>
          <w:ilvl w:val="0"/>
          <w:numId w:val="2"/>
        </w:numPr>
        <w:spacing w:after="80"/>
      </w:pPr>
      <w:r>
        <w:t xml:space="preserve">Environmental Impact Assessment (EIA) for the precinct, or relevant sections addressing stormwater volume and quality — noted as pending but required to inform IWM volume reduction targets under Phase 3.3</w:t>
      </w:r>
    </w:p>
    <w:p>
      <w:pPr>
        <w:spacing w:after="80"/>
      </w:pPr>
      <w:r>
        <w:t xml:space="preserve"/>
      </w:r>
    </w:p>
    <w:p>
      <w:pPr>
        <w:spacing w:after="120"/>
      </w:pPr>
      <w:r>
        <w:t xml:space="preserve">Specific data gaps identified at this stage:</w:t>
      </w:r>
    </w:p>
    <w:p>
      <w:pPr>
        <w:spacing w:after="80"/>
      </w:pPr>
      <w:r>
        <w:t xml:space="preserve"/>
      </w:r>
    </w:p>
    <w:p>
      <w:pPr>
        <w:pStyle w:val="ListParagraph"/>
        <w:numPr>
          <w:ilvl w:val="0"/>
          <w:numId w:val="2"/>
        </w:numPr>
        <w:spacing w:after="80"/>
      </w:pPr>
      <w:r>
        <w:t xml:space="preserve">The EIA informing stormwater volume reduction targets (Phase 3.3) has not been completed or provided. This is a critical dependency for establishing IWM objectives and may affect programme if delayed.</w:t>
      </w:r>
    </w:p>
    <w:p>
      <w:pPr>
        <w:pStyle w:val="ListParagraph"/>
        <w:numPr>
          <w:ilvl w:val="0"/>
          <w:numId w:val="2"/>
        </w:numPr>
        <w:spacing w:after="80"/>
      </w:pPr>
      <w:r>
        <w:t xml:space="preserve">Survey data covering proposed drainage corridors, waterway cross-sections, and retarding basin footprint areas has not been confirmed as available. If current survey is not available, additional survey may be required and would be treated as a variation or separate engagement.</w:t>
      </w:r>
    </w:p>
    <w:p>
      <w:pPr>
        <w:pStyle w:val="ListParagraph"/>
        <w:numPr>
          <w:ilvl w:val="0"/>
          <w:numId w:val="2"/>
        </w:numPr>
        <w:spacing w:after="80"/>
      </w:pPr>
      <w:r>
        <w:t xml:space="preserve">Existing underground drainage infrastructure records (CoGG asset data, service authority locates) — not confirmed as provided. Rain will request these from CoGG and service authorities at commencement.</w:t>
      </w:r>
    </w:p>
    <w:p>
      <w:pPr>
        <w:pStyle w:val="ListParagraph"/>
        <w:numPr>
          <w:ilvl w:val="0"/>
          <w:numId w:val="2"/>
        </w:numPr>
        <w:spacing w:after="80"/>
      </w:pPr>
      <w:r>
        <w:t xml:space="preserve">Geotechnical data relevant to basin infiltration or subgrade conditions — not confirmed. This is excluded from Rain's scope.</w:t>
      </w:r>
    </w:p>
    <w:p>
      <w:pPr>
        <w:spacing w:after="80"/>
      </w:pPr>
      <w:r>
        <w:t xml:space="preserve"/>
      </w:r>
    </w:p>
    <w:p>
      <w:pPr>
        <w:spacing w:after="120"/>
      </w:pPr>
      <w:r>
        <w:t xml:space="preserve">---</w:t>
      </w:r>
    </w:p>
    <w:p>
      <w:pPr>
        <w:spacing w:after="80"/>
      </w:pPr>
      <w:r>
        <w:t xml:space="preserve"/>
      </w:r>
    </w:p>
    <w:p>
      <w:pPr>
        <w:pStyle w:val="Heading1"/>
        <w:spacing w:after="120" w:before="360"/>
      </w:pPr>
      <w:r>
        <w:rPr>
          <w:color w:val="2C5F5F"/>
        </w:rPr>
        <w:t xml:space="preserve">Key Project Background</w:t>
      </w:r>
    </w:p>
    <w:p>
      <w:pPr>
        <w:spacing w:after="120"/>
      </w:pPr>
      <w:r>
        <w:t xml:space="preserve">Rain Consulting completed Phases 1 and 2 of hydrological investigation for the 15 Avalon Road site, providing direct continuity into the current scope. Phase 1 established the catchment analysis framework, including delineation of catchment boundaries, identification of receiving waterways, and characterisation of pre-development hydrology. Phase 2 developed the preliminary concept drainage strategy, including indicative sizing and placement of retarding basins and a preliminary stormwater treatment train, and provided the hydrological modelling base used to support the DPO50 panel submission.</w:t>
      </w:r>
    </w:p>
    <w:p>
      <w:pPr>
        <w:spacing w:after="80"/>
      </w:pPr>
      <w:r>
        <w:t xml:space="preserve"/>
      </w:r>
    </w:p>
    <w:p>
      <w:pPr>
        <w:spacing w:after="120"/>
      </w:pPr>
      <w:r>
        <w:t xml:space="preserve">The DPO50 panel hearing for the Greater Avalon Employment Precinct has been completed. The panel process will have considered and resolved key policy positions relevant to water management, including design flood standards (1% AEP with climate change allowance), waterway corridor requirements, and stormwater quality standards. Gazettal of the planning scheme amendment is pending. Rain's scope under Phases 3–5 is predicated on DPO50 Clause 4.0 as the governing approval framework, with the draft Clause 4.0 water-related plan requirements forming the primary brief for deliverables.</w:t>
      </w:r>
    </w:p>
    <w:p>
      <w:pPr>
        <w:spacing w:after="80"/>
      </w:pPr>
      <w:r>
        <w:t xml:space="preserve"/>
      </w:r>
    </w:p>
    <w:p>
      <w:pPr>
        <w:spacing w:after="120"/>
      </w:pPr>
      <w:r>
        <w:t xml:space="preserve">The proximity of the site to Ramsar-listed wetlands and the Avalon Coastal Reserve has been a material consideration since the earliest stages of investigation. This environmental context drives stringent stormwater treatment requirements, conservative flood impact standards, and the need for robust IWM planning to minimise net stormwater volume increases to the receiving environment. These considerations are embedded in the Phase 3 scope.</w:t>
      </w:r>
    </w:p>
    <w:p>
      <w:pPr>
        <w:spacing w:after="80"/>
      </w:pPr>
      <w:r>
        <w:t xml:space="preserve"/>
      </w:r>
    </w:p>
    <w:p>
      <w:pPr>
        <w:spacing w:after="120"/>
      </w:pPr>
      <w:r>
        <w:t xml:space="preserve">The GAEP involves multiple landowners within the broader precinct, and the subject site at 15 Avalon Road (LIVV) is one parcel within a wider development context. Coordination with the broader Landowner Group is referenced in Phase 3.3 for IWM options shortlisting. The extent of Rain's liaison with other landowners or their consultants is assumed to be limited to the workshops and coordination tasks explicitly described in the scope; broader precinct-wide coordination or peer review of other consultants' work is excluded.</w:t>
      </w:r>
    </w:p>
    <w:p>
      <w:pPr>
        <w:spacing w:after="80"/>
      </w:pPr>
      <w:r>
        <w:t xml:space="preserve"/>
      </w:r>
    </w:p>
    <w:p>
      <w:pPr>
        <w:spacing w:after="120"/>
      </w:pPr>
      <w:r>
        <w:t xml:space="preserve">---</w:t>
      </w:r>
    </w:p>
    <w:p>
      <w:pPr>
        <w:pageBreakBefore/>
      </w:pPr>
      <w:r>
        <w:t xml:space="preserve"/>
      </w:r>
    </w:p>
    <w:p>
      <w:pPr>
        <w:pStyle w:val="Heading1"/>
        <w:spacing w:after="120" w:before="360"/>
      </w:pPr>
      <w:r>
        <w:rPr>
          <w:color w:val="2C5F5F"/>
        </w:rPr>
        <w:t xml:space="preserve">Scope Risk Check</w:t>
      </w:r>
    </w:p>
    <w:p>
      <w:pPr>
        <w:spacing w:after="120"/>
      </w:pPr>
      <w:r>
        <w:rPr>
          <w:i/>
          <w:iCs/>
        </w:rPr>
        <w:t xml:space="preserve">Risk assessment prepared prior to proposal finalisation. Review before pricing.</w:t>
      </w:r>
    </w:p>
    <w:p>
      <w:pPr>
        <w:spacing w:after="120"/>
      </w:pPr>
      <w:r>
        <w:t xml:space="preserve">The following risks have been identified in preparing this proposal. Likelihood and impact ratings are indicative based on Rain's professional judgement at the time of proposal.</w:t>
      </w:r>
    </w:p>
    <w:p>
      <w:pPr>
        <w:spacing w:after="80"/>
      </w:pPr>
      <w:r>
        <w:t xml:space="preserve"/>
      </w:r>
    </w:p>
    <w:p>
      <w:pPr>
        <w:pStyle w:val="ListParagraph"/>
        <w:numPr>
          <w:ilvl w:val="0"/>
          <w:numId w:val="2"/>
        </w:numPr>
        <w:spacing w:after="80"/>
      </w:pPr>
      <w:r>
        <w:rPr>
          <w:b/>
          <w:bCs/>
        </w:rPr>
        <w:t xml:space="preserve">EIA not yet completed</w:t>
      </w:r>
      <w:r>
        <w:rPr>
          <w:color w:val="CCCCCC"/>
        </w:rPr>
        <w:t xml:space="preserve"> — </w:t>
      </w:r>
      <w:r>
        <w:t xml:space="preserve">High</w:t>
      </w:r>
      <w:r>
        <w:rPr>
          <w:color w:val="CCCCCC"/>
        </w:rPr>
        <w:t xml:space="preserve"> — </w:t>
      </w:r>
      <w:r>
        <w:t xml:space="preserve">High</w:t>
      </w:r>
      <w:r>
        <w:rPr>
          <w:color w:val="CCCCCC"/>
        </w:rPr>
        <w:t xml:space="preserve"> — </w:t>
      </w:r>
      <w:r>
        <w:t xml:space="preserve">IWM volume reduction targets cannot be finalised until EIA is available; Phase 3.3 programme is contingent on EIA delivery. Rain will flag this dependency at project kick-off and agree a trigger date with the client.</w:t>
      </w:r>
    </w:p>
    <w:p>
      <w:pPr>
        <w:pStyle w:val="ListParagraph"/>
        <w:numPr>
          <w:ilvl w:val="0"/>
          <w:numId w:val="2"/>
        </w:numPr>
        <w:spacing w:after="80"/>
      </w:pPr>
      <w:r>
        <w:rPr>
          <w:b/>
          <w:bCs/>
        </w:rPr>
        <w:t xml:space="preserve">LiDAR data currency or coverage gaps</w:t>
      </w:r>
      <w:r>
        <w:rPr>
          <w:color w:val="CCCCCC"/>
        </w:rPr>
        <w:t xml:space="preserve"> — </w:t>
      </w:r>
      <w:r>
        <w:t xml:space="preserve">Medium</w:t>
      </w:r>
      <w:r>
        <w:rPr>
          <w:color w:val="CCCCCC"/>
        </w:rPr>
        <w:t xml:space="preserve"> — </w:t>
      </w:r>
      <w:r>
        <w:t xml:space="preserve">Medium</w:t>
      </w:r>
      <w:r>
        <w:rPr>
          <w:color w:val="CCCCCC"/>
        </w:rPr>
        <w:t xml:space="preserve"> — </w:t>
      </w:r>
      <w:r>
        <w:t xml:space="preserve">If available LiDAR is outdated or does not cover key catchment areas, additional survey or terrain data acquisition will be required. Confirm data vintage and coverage at commencement.</w:t>
      </w:r>
    </w:p>
    <w:p>
      <w:pPr>
        <w:pStyle w:val="ListParagraph"/>
        <w:numPr>
          <w:ilvl w:val="0"/>
          <w:numId w:val="2"/>
        </w:numPr>
        <w:spacing w:after="80"/>
      </w:pPr>
      <w:r>
        <w:rPr>
          <w:b/>
          <w:bCs/>
        </w:rPr>
        <w:t xml:space="preserve">TUFLOW model not in Phase 1/2 scope — new model build required</w:t>
      </w:r>
      <w:r>
        <w:rPr>
          <w:color w:val="CCCCCC"/>
        </w:rPr>
        <w:t xml:space="preserve"> — </w:t>
      </w:r>
      <w:r>
        <w:t xml:space="preserve">High</w:t>
      </w:r>
      <w:r>
        <w:rPr>
          <w:color w:val="CCCCCC"/>
        </w:rPr>
        <w:t xml:space="preserve"> — </w:t>
      </w:r>
      <w:r>
        <w:t xml:space="preserve">High</w:t>
      </w:r>
      <w:r>
        <w:rPr>
          <w:color w:val="CCCCCC"/>
        </w:rPr>
        <w:t xml:space="preserve"> — </w:t>
      </w:r>
      <w:r>
        <w:t xml:space="preserve">The existing Rain model base is RORB (hydrological). A TUFLOW hydraulic model for flood impact assessment is a new deliverable in Phase 3.1 and represents a significant portion of scope. If the catchment complexity is greater than anticipated from available terrain data, model build effort may exceed estimate.</w:t>
      </w:r>
    </w:p>
    <w:p>
      <w:pPr>
        <w:pStyle w:val="ListParagraph"/>
        <w:numPr>
          <w:ilvl w:val="0"/>
          <w:numId w:val="2"/>
        </w:numPr>
        <w:spacing w:after="80"/>
      </w:pPr>
      <w:r>
        <w:rPr>
          <w:b/>
          <w:bCs/>
        </w:rPr>
        <w:t xml:space="preserve">CCMA methodology requirements not yet agreed</w:t>
      </w:r>
      <w:r>
        <w:rPr>
          <w:color w:val="CCCCCC"/>
        </w:rPr>
        <w:t xml:space="preserve"> — </w:t>
      </w:r>
      <w:r>
        <w:t xml:space="preserve">Medium</w:t>
      </w:r>
      <w:r>
        <w:rPr>
          <w:color w:val="CCCCCC"/>
        </w:rPr>
        <w:t xml:space="preserve"> — </w:t>
      </w:r>
      <w:r>
        <w:t xml:space="preserve">High</w:t>
      </w:r>
      <w:r>
        <w:rPr>
          <w:color w:val="CCCCCC"/>
        </w:rPr>
        <w:t xml:space="preserve"> — </w:t>
      </w:r>
      <w:r>
        <w:t xml:space="preserve">CCMA may require specific modelling approaches, output formats, or design standards not fully captured in DPO50. A methodology workshop with CCMA prior to model build is recommended and is assumed in scope. If CCMA requires methodology changes after model build has commenced, this would trigger a variation.</w:t>
      </w:r>
    </w:p>
    <w:p>
      <w:pPr>
        <w:pStyle w:val="ListParagraph"/>
        <w:numPr>
          <w:ilvl w:val="0"/>
          <w:numId w:val="2"/>
        </w:numPr>
        <w:spacing w:after="80"/>
      </w:pPr>
      <w:r>
        <w:rPr>
          <w:b/>
          <w:bCs/>
        </w:rPr>
        <w:t xml:space="preserve">Authority review rounds exceeding assumption</w:t>
      </w:r>
      <w:r>
        <w:rPr>
          <w:color w:val="CCCCCC"/>
        </w:rPr>
        <w:t xml:space="preserve"> — </w:t>
      </w:r>
      <w:r>
        <w:t xml:space="preserve">Medium</w:t>
      </w:r>
      <w:r>
        <w:rPr>
          <w:color w:val="CCCCCC"/>
        </w:rPr>
        <w:t xml:space="preserve"> — </w:t>
      </w:r>
      <w:r>
        <w:t xml:space="preserve">High</w:t>
      </w:r>
      <w:r>
        <w:rPr>
          <w:color w:val="CCCCCC"/>
        </w:rPr>
        <w:t xml:space="preserve"> — </w:t>
      </w:r>
      <w:r>
        <w:t xml:space="preserve">This proposal assumes two rounds of authority review for Phase 3.1 (CCMA and CoGG) and one round each for Phases 3.2, 3.3, and 4. Additional review rounds, requests for supplementary information, or changes in authority personnel or policy during the approval process are variation triggers.</w:t>
      </w:r>
    </w:p>
    <w:p>
      <w:pPr>
        <w:pStyle w:val="ListParagraph"/>
        <w:numPr>
          <w:ilvl w:val="0"/>
          <w:numId w:val="2"/>
        </w:numPr>
        <w:spacing w:after="80"/>
      </w:pPr>
      <w:r>
        <w:rPr>
          <w:b/>
          <w:bCs/>
        </w:rPr>
        <w:t xml:space="preserve">Scope of IWM stakeholder workshops</w:t>
      </w:r>
      <w:r>
        <w:rPr>
          <w:color w:val="CCCCCC"/>
        </w:rPr>
        <w:t xml:space="preserve"> — </w:t>
      </w:r>
      <w:r>
        <w:t xml:space="preserve">Low</w:t>
      </w:r>
      <w:r>
        <w:rPr>
          <w:color w:val="CCCCCC"/>
        </w:rPr>
        <w:t xml:space="preserve"> — </w:t>
      </w:r>
      <w:r>
        <w:t xml:space="preserve">Medium</w:t>
      </w:r>
      <w:r>
        <w:rPr>
          <w:color w:val="CCCCCC"/>
        </w:rPr>
        <w:t xml:space="preserve"> — </w:t>
      </w:r>
      <w:r>
        <w:t xml:space="preserve">Three workshops are assumed in Phase 3.3. If authorities require additional workshops or if workshop outcomes require significant rework of the IWM options analysis, additional fees will apply.</w:t>
      </w:r>
    </w:p>
    <w:p>
      <w:pPr>
        <w:pStyle w:val="ListParagraph"/>
        <w:numPr>
          <w:ilvl w:val="0"/>
          <w:numId w:val="2"/>
        </w:numPr>
        <w:spacing w:after="80"/>
      </w:pPr>
      <w:r>
        <w:rPr>
          <w:b/>
          <w:bCs/>
        </w:rPr>
        <w:t xml:space="preserve">Landowner Group engagement scope</w:t>
      </w:r>
      <w:r>
        <w:rPr>
          <w:color w:val="CCCCCC"/>
        </w:rPr>
        <w:t xml:space="preserve"> — </w:t>
      </w:r>
      <w:r>
        <w:t xml:space="preserve">Medium</w:t>
      </w:r>
      <w:r>
        <w:rPr>
          <w:color w:val="CCCCCC"/>
        </w:rPr>
        <w:t xml:space="preserve"> — </w:t>
      </w:r>
      <w:r>
        <w:t xml:space="preserve">Medium</w:t>
      </w:r>
      <w:r>
        <w:rPr>
          <w:color w:val="CCCCCC"/>
        </w:rPr>
        <w:t xml:space="preserve"> — </w:t>
      </w:r>
      <w:r>
        <w:t xml:space="preserve">The extent of engagement with the broader Landowner Group is not fully defined. Rain has assumed limited attendance at workshops only. If broader coordination, precinct-wide data sharing, or peer review is required, this is a variation.</w:t>
      </w:r>
    </w:p>
    <w:p>
      <w:pPr>
        <w:pStyle w:val="ListParagraph"/>
        <w:numPr>
          <w:ilvl w:val="0"/>
          <w:numId w:val="2"/>
        </w:numPr>
        <w:spacing w:after="80"/>
      </w:pPr>
      <w:r>
        <w:rPr>
          <w:b/>
          <w:bCs/>
        </w:rPr>
        <w:t xml:space="preserve">DPO50 gazettal delayed</w:t>
      </w:r>
      <w:r>
        <w:rPr>
          <w:color w:val="CCCCCC"/>
        </w:rPr>
        <w:t xml:space="preserve"> — </w:t>
      </w:r>
      <w:r>
        <w:t xml:space="preserve">Low</w:t>
      </w:r>
      <w:r>
        <w:rPr>
          <w:color w:val="CCCCCC"/>
        </w:rPr>
        <w:t xml:space="preserve"> — </w:t>
      </w:r>
      <w:r>
        <w:t xml:space="preserve">Medium</w:t>
      </w:r>
      <w:r>
        <w:rPr>
          <w:color w:val="CCCCCC"/>
        </w:rPr>
        <w:t xml:space="preserve"> — </w:t>
      </w:r>
      <w:r>
        <w:t xml:space="preserve">If gazettal is delayed and the authority requirements under Clause 4.0 are amended prior to the work being completed, scope adjustments may be required. Rain will proceed on the basis of the draft Clause 4.0 provided.</w:t>
      </w:r>
    </w:p>
    <w:p>
      <w:pPr>
        <w:pStyle w:val="ListParagraph"/>
        <w:numPr>
          <w:ilvl w:val="0"/>
          <w:numId w:val="2"/>
        </w:numPr>
        <w:spacing w:after="80"/>
      </w:pPr>
      <w:r>
        <w:rPr>
          <w:b/>
          <w:bCs/>
        </w:rPr>
        <w:t xml:space="preserve">Client contact not identified</w:t>
      </w:r>
      <w:r>
        <w:rPr>
          <w:color w:val="CCCCCC"/>
        </w:rPr>
        <w:t xml:space="preserve"> — </w:t>
      </w:r>
      <w:r>
        <w:t xml:space="preserve">Low</w:t>
      </w:r>
      <w:r>
        <w:rPr>
          <w:color w:val="CCCCCC"/>
        </w:rPr>
        <w:t xml:space="preserve"> — </w:t>
      </w:r>
      <w:r>
        <w:t xml:space="preserve">Low</w:t>
      </w:r>
      <w:r>
        <w:rPr>
          <w:color w:val="CCCCCC"/>
        </w:rPr>
        <w:t xml:space="preserve"> — </w:t>
      </w:r>
      <w:r>
        <w:t xml:space="preserve">Proposal submitted without confirmed client contact. This should be resolved at or before execution of the agreement to ensure clear instructions and approval authority for each phase.</w:t>
      </w:r>
    </w:p>
    <w:p>
      <w:pPr>
        <w:pStyle w:val="ListParagraph"/>
        <w:numPr>
          <w:ilvl w:val="0"/>
          <w:numId w:val="2"/>
        </w:numPr>
        <w:spacing w:after="80"/>
      </w:pPr>
      <w:r>
        <w:rPr>
          <w:b/>
          <w:bCs/>
        </w:rPr>
        <w:t xml:space="preserve">Survey data gaps for Phase 4</w:t>
      </w:r>
      <w:r>
        <w:rPr>
          <w:color w:val="CCCCCC"/>
        </w:rPr>
        <w:t xml:space="preserve"> — </w:t>
      </w:r>
      <w:r>
        <w:t xml:space="preserve">Medium</w:t>
      </w:r>
      <w:r>
        <w:rPr>
          <w:color w:val="CCCCCC"/>
        </w:rPr>
        <w:t xml:space="preserve"> — </w:t>
      </w:r>
      <w:r>
        <w:t xml:space="preserve">High</w:t>
      </w:r>
      <w:r>
        <w:rPr>
          <w:color w:val="CCCCCC"/>
        </w:rPr>
        <w:t xml:space="preserve"> — </w:t>
      </w:r>
      <w:r>
        <w:t xml:space="preserve">Functional design requires accurate cross-section and longitudinal survey data for drainage corridors and basin footprints. If survey is not available or is inadequate, Rain will need to arrange survey as a variation scope item.</w:t>
      </w:r>
    </w:p>
    <w:p>
      <w:pPr>
        <w:spacing w:after="80"/>
      </w:pPr>
      <w:r>
        <w:t xml:space="preserve"/>
      </w:r>
    </w:p>
    <w:p>
      <w:pPr>
        <w:spacing w:after="120"/>
      </w:pPr>
      <w:r>
        <w:t xml:space="preserve">---</w:t>
      </w:r>
    </w:p>
    <w:p>
      <w:pPr>
        <w:pageBreakBefore/>
      </w:pPr>
      <w:r>
        <w:t xml:space="preserve"/>
      </w:r>
    </w:p>
    <w:p>
      <w:pPr>
        <w:pStyle w:val="Heading1"/>
        <w:spacing w:after="120" w:before="360"/>
      </w:pPr>
      <w:r>
        <w:rPr>
          <w:color w:val="2C5F5F"/>
        </w:rPr>
        <w:t xml:space="preserve">Detailed Scope of Services</w:t>
      </w:r>
    </w:p>
    <w:p>
      <w:pPr>
        <w:spacing w:after="120"/>
      </w:pPr>
      <w:r>
        <w:t xml:space="preserve">PHASE 3.1 — DRAINAGE AND STORMWATER MANAGEMENT STRATEGY (DSMS)</w:t>
      </w:r>
    </w:p>
    <w:p>
      <w:pPr>
        <w:spacing w:after="120"/>
      </w:pPr>
      <w:r>
        <w:t xml:space="preserve">Approval required from: CCMA and CoGG</w:t>
      </w:r>
    </w:p>
    <w:p>
      <w:pPr>
        <w:spacing w:after="80"/>
      </w:pPr>
      <w:r>
        <w:t xml:space="preserve"/>
      </w:r>
    </w:p>
    <w:p>
      <w:pPr>
        <w:spacing w:after="120"/>
      </w:pPr>
      <w:r>
        <w:t xml:space="preserve">Task 3.1.1 — Review of Existing Strategies and Background Reports</w:t>
      </w:r>
    </w:p>
    <w:p>
      <w:pPr>
        <w:spacing w:after="80"/>
      </w:pPr>
      <w:r>
        <w:rPr>
          <w:b/>
          <w:bCs/>
        </w:rPr>
        <w:t xml:space="preserve">Purpose: </w:t>
      </w:r>
      <w:r>
        <w:t xml:space="preserve">Establish a complete understanding of prior investigations, existing policy context, and any changes since Phase 1 and 2 work was completed.</w:t>
      </w:r>
    </w:p>
    <w:p>
      <w:pPr>
        <w:spacing w:after="80"/>
      </w:pPr>
      <w:r>
        <w:rPr>
          <w:b/>
          <w:bCs/>
        </w:rPr>
        <w:t xml:space="preserve">Description: </w:t>
      </w:r>
      <w:r>
        <w:t xml:space="preserve">Review all background reports, studies, strategies, and planning documents relevant to the site and catchment, including Phase 1 and Phase 2 Rain reports, any GAEP-wide drainage or flood studies, CoGG drainage strategies, and CCMA waterway management plans. Identify any new or changed information that affects the current scope.</w:t>
      </w:r>
    </w:p>
    <w:p>
      <w:pPr>
        <w:spacing w:after="120"/>
      </w:pPr>
      <w:r>
        <w:t xml:space="preserve">Input data required: Phase 1 and Phase 2 Rain reports; any third-party drainage or flood studies relevant to the site or receiving catchments; DPO50 Clause 4.0 water-related plan requirements (draft, as provided).</w:t>
      </w:r>
    </w:p>
    <w:p>
      <w:pPr>
        <w:spacing w:after="120"/>
      </w:pPr>
      <w:r>
        <w:t xml:space="preserve">Key assumptions: All Rain Phase 1 and Phase 2 reports and model files are accessible from Rain's project archive. Third-party studies will be provided by the client or sourced from public registers.</w:t>
      </w:r>
    </w:p>
    <w:p>
      <w:pPr>
        <w:spacing w:after="80"/>
      </w:pPr>
      <w:r>
        <w:rPr>
          <w:b/>
          <w:bCs/>
        </w:rPr>
        <w:t xml:space="preserve">Deliverables: </w:t>
      </w:r>
      <w:r>
        <w:t xml:space="preserve">Internal review memorandum (not a client deliverable); outcomes incorporated into DSMS Report.</w:t>
      </w:r>
    </w:p>
    <w:p>
      <w:pPr>
        <w:spacing w:after="80"/>
      </w:pPr>
      <w:r>
        <w:rPr>
          <w:b/>
          <w:bCs/>
        </w:rPr>
        <w:t xml:space="preserve">Exclusions: </w:t>
      </w:r>
      <w:r>
        <w:t xml:space="preserve">Review of documents not provided to Rain within an agreed timeframe; review of documents not relevant to the drainage and stormwater scope.</w:t>
      </w:r>
    </w:p>
    <w:p>
      <w:pPr>
        <w:spacing w:after="80"/>
      </w:pPr>
      <w:r>
        <w:rPr>
          <w:b/>
          <w:bCs/>
        </w:rPr>
        <w:t xml:space="preserve">Variation triggers: </w:t>
      </w:r>
      <w:r>
        <w:t xml:space="preserve">Discovery of significant new information (e.g. updated flood studies, changed catchment conditions, new CCMA policy) that materially changes the scope of modelling or design.</w:t>
      </w:r>
    </w:p>
    <w:p>
      <w:pPr>
        <w:spacing w:after="80"/>
      </w:pPr>
      <w:r>
        <w:t xml:space="preserve"/>
      </w:r>
    </w:p>
    <w:p>
      <w:pPr>
        <w:spacing w:after="120"/>
      </w:pPr>
      <w:r>
        <w:t xml:space="preserve">Task 3.1.2 — GAP Analysis and Data Review</w:t>
      </w:r>
    </w:p>
    <w:p>
      <w:pPr>
        <w:spacing w:after="80"/>
      </w:pPr>
      <w:r>
        <w:rPr>
          <w:b/>
          <w:bCs/>
        </w:rPr>
        <w:t xml:space="preserve">Purpose: </w:t>
      </w:r>
      <w:r>
        <w:t xml:space="preserve">Identify data gaps that could affect model accuracy or design adequacy before significant modelling effort is invested.</w:t>
      </w:r>
    </w:p>
    <w:p>
      <w:pPr>
        <w:spacing w:after="80"/>
      </w:pPr>
      <w:r>
        <w:rPr>
          <w:b/>
          <w:bCs/>
        </w:rPr>
        <w:t xml:space="preserve">Description: </w:t>
      </w:r>
      <w:r>
        <w:t xml:space="preserve">Review available LiDAR, aerial imagery, topographic survey, and existing infrastructure records. Assess currency, coverage, and fitness for purpose for RORB and TUFLOW modelling. Identify gaps requiring additional data acquisition or survey. Prepare a data gap register and communicate findings to the client.</w:t>
      </w:r>
    </w:p>
    <w:p>
      <w:pPr>
        <w:spacing w:after="120"/>
      </w:pPr>
      <w:r>
        <w:t xml:space="preserve">Input data required: LiDAR dataset (vendor, date, resolution, coverage area); aerial imagery (date, resolution); CoGG and service authority drainage asset records; any available survey data for drainage corridors and basin sites.</w:t>
      </w:r>
    </w:p>
    <w:p>
      <w:pPr>
        <w:spacing w:after="120"/>
      </w:pPr>
      <w:r>
        <w:t xml:space="preserve">Key assumptions: LiDAR is available at a resolution suitable for TUFLOW model build (minimum 1m grid, preferably 0.5m). Aerial imagery is available for site context review. CoGG will provide drainage asset records in a timely manner.</w:t>
      </w:r>
    </w:p>
    <w:p>
      <w:pPr>
        <w:spacing w:after="80"/>
      </w:pPr>
      <w:r>
        <w:rPr>
          <w:b/>
          <w:bCs/>
        </w:rPr>
        <w:t xml:space="preserve">Deliverables: </w:t>
      </w:r>
      <w:r>
        <w:t xml:space="preserve">Data gap register (issued to client for action); incorporated into DSMS Report.</w:t>
      </w:r>
    </w:p>
    <w:p>
      <w:pPr>
        <w:spacing w:after="80"/>
      </w:pPr>
      <w:r>
        <w:rPr>
          <w:b/>
          <w:bCs/>
        </w:rPr>
        <w:t xml:space="preserve">Exclusions: </w:t>
      </w:r>
      <w:r>
        <w:t xml:space="preserve">Procurement of new survey or LiDAR on behalf of the client (variation if required).</w:t>
      </w:r>
    </w:p>
    <w:p>
      <w:pPr>
        <w:spacing w:after="80"/>
      </w:pPr>
      <w:r>
        <w:rPr>
          <w:b/>
          <w:bCs/>
        </w:rPr>
        <w:t xml:space="preserve">Variation triggers: </w:t>
      </w:r>
      <w:r>
        <w:t xml:space="preserve">LiDAR data found to be inadequate in resolution or coverage, requiring new data acquisition.</w:t>
      </w:r>
    </w:p>
    <w:p>
      <w:pPr>
        <w:spacing w:after="80"/>
      </w:pPr>
      <w:r>
        <w:t xml:space="preserve"/>
      </w:r>
    </w:p>
    <w:p>
      <w:pPr>
        <w:spacing w:after="120"/>
      </w:pPr>
      <w:r>
        <w:t xml:space="preserve">Task 3.1.3 — Update Catchment Plan</w:t>
      </w:r>
    </w:p>
    <w:p>
      <w:pPr>
        <w:spacing w:after="80"/>
      </w:pPr>
      <w:r>
        <w:rPr>
          <w:b/>
          <w:bCs/>
        </w:rPr>
        <w:t xml:space="preserve">Purpose: </w:t>
      </w:r>
      <w:r>
        <w:t xml:space="preserve">Provide an updated spatial representation of the catchment structure, sub-catchment boundaries, drainage flow paths, and proposed drainage infrastructure layout for use in modelling and reporting.</w:t>
      </w:r>
    </w:p>
    <w:p>
      <w:pPr>
        <w:spacing w:after="80"/>
      </w:pPr>
      <w:r>
        <w:rPr>
          <w:b/>
          <w:bCs/>
        </w:rPr>
        <w:t xml:space="preserve">Description: </w:t>
      </w:r>
      <w:r>
        <w:t xml:space="preserve">Update the catchment plan prepared in Phase 1/2 to reflect current site layout, revised sub-catchment delineations, proposed drainage corridors, and updated infrastructure locations. Prepare in GIS format suitable for inclusion in the DSMS Report.</w:t>
      </w:r>
    </w:p>
    <w:p>
      <w:pPr>
        <w:spacing w:after="120"/>
      </w:pPr>
      <w:r>
        <w:t xml:space="preserve">Input data required: Current site layout/masterplan; updated LiDAR and aerial imagery; Phase 1/2 catchment plan GIS files.</w:t>
      </w:r>
    </w:p>
    <w:p>
      <w:pPr>
        <w:spacing w:after="120"/>
      </w:pPr>
      <w:r>
        <w:t xml:space="preserve">Key assumptions: Client will provide a current site masterplan or development layout drawing prior to commencement of this task. GIS software (ESRI ArcGIS or QGIS) is available within Rain's standard toolset.</w:t>
      </w:r>
    </w:p>
    <w:p>
      <w:pPr>
        <w:spacing w:after="80"/>
      </w:pPr>
      <w:r>
        <w:rPr>
          <w:b/>
          <w:bCs/>
        </w:rPr>
        <w:t xml:space="preserve">Deliverables: </w:t>
      </w:r>
      <w:r>
        <w:t xml:space="preserve">Updated catchment plan (GIS shapefile and PDF at appropriate scale); incorporated into DSMS Report.</w:t>
      </w:r>
    </w:p>
    <w:p>
      <w:pPr>
        <w:spacing w:after="80"/>
      </w:pPr>
      <w:r>
        <w:rPr>
          <w:b/>
          <w:bCs/>
        </w:rPr>
        <w:t xml:space="preserve">Exclusions: </w:t>
      </w:r>
      <w:r>
        <w:t xml:space="preserve">Cadastral survey, title boundary confirmation, or legal boundary definition.</w:t>
      </w:r>
    </w:p>
    <w:p>
      <w:pPr>
        <w:spacing w:after="80"/>
      </w:pPr>
      <w:r>
        <w:rPr>
          <w:b/>
          <w:bCs/>
        </w:rPr>
        <w:t xml:space="preserve">Variation triggers: </w:t>
      </w:r>
      <w:r>
        <w:t xml:space="preserve">Material change to site masterplan or development layout after catchment plan has been drafted, requiring rework.</w:t>
      </w:r>
    </w:p>
    <w:p>
      <w:pPr>
        <w:spacing w:after="80"/>
      </w:pPr>
      <w:r>
        <w:t xml:space="preserve"/>
      </w:r>
    </w:p>
    <w:p>
      <w:pPr>
        <w:spacing w:after="120"/>
      </w:pPr>
      <w:r>
        <w:t xml:space="preserve">Task 3.1.4 — Update RORB Hydrological Model</w:t>
      </w:r>
    </w:p>
    <w:p>
      <w:pPr>
        <w:spacing w:after="80"/>
      </w:pPr>
      <w:r>
        <w:rPr>
          <w:b/>
          <w:bCs/>
        </w:rPr>
        <w:t xml:space="preserve">Purpose: </w:t>
      </w:r>
      <w:r>
        <w:t xml:space="preserve">Confirm design flood hydrology for existing and developed conditions as input to TUFLOW hydraulic modelling and retarding basin sizing.</w:t>
      </w:r>
    </w:p>
    <w:p>
      <w:pPr>
        <w:spacing w:after="80"/>
      </w:pPr>
      <w:r>
        <w:rPr>
          <w:b/>
          <w:bCs/>
        </w:rPr>
        <w:t xml:space="preserve">Description: </w:t>
      </w:r>
      <w:r>
        <w:t xml:space="preserve">Review and update the existing Rain RORB model to reflect current catchment conditions, adopted parameters, climate change allowances per DPO50 (1% AEP with climate change), and the current proposed development layout. Run models for existing (pre-development) and developed (post-development) conditions across the full range of design flood events required by DPO50 and CoGG. Update retarding basin sizing and routing calculations.</w:t>
      </w:r>
    </w:p>
    <w:p>
      <w:pPr>
        <w:spacing w:after="120"/>
      </w:pPr>
      <w:r>
        <w:t xml:space="preserve">Modelling required: RORB model update; scenario runs for pre- and post-development conditions; climate change scenario (per DPO50); design events as required by CoGG and CCMA (typically 10% AEP, 5% AEP, 2% AEP, 1% AEP with and without climate change).</w:t>
      </w:r>
    </w:p>
    <w:p>
      <w:pPr>
        <w:spacing w:after="120"/>
      </w:pPr>
      <w:r>
        <w:t xml:space="preserve">Input data required: Current RORB model files (Rain archive); updated catchment plan; adopted climate change factors (per DPO50 or ARR2019 guidance); CoGG/CCMA design event requirements.</w:t>
      </w:r>
    </w:p>
    <w:p>
      <w:pPr>
        <w:spacing w:after="120"/>
      </w:pPr>
      <w:r>
        <w:t xml:space="preserve">Key assumptions: Existing RORB model is fit for purpose and requires updating rather than rebuilding from first principles. Climate change factors will be applied per DPO50 requirements and ARR2019 guidance. Model parameter changes will be agreed with CCMA prior to finalising outputs.</w:t>
      </w:r>
    </w:p>
    <w:p>
      <w:pPr>
        <w:spacing w:after="80"/>
      </w:pPr>
      <w:r>
        <w:rPr>
          <w:b/>
          <w:bCs/>
        </w:rPr>
        <w:t xml:space="preserve">Deliverables: </w:t>
      </w:r>
      <w:r>
        <w:t xml:space="preserve">Updated RORB model files; model results summary table; retarding basin sizing summary; incorporated into DSMS Report.</w:t>
      </w:r>
    </w:p>
    <w:p>
      <w:pPr>
        <w:spacing w:after="80"/>
      </w:pPr>
      <w:r>
        <w:rPr>
          <w:b/>
          <w:bCs/>
        </w:rPr>
        <w:t xml:space="preserve">Exclusions: </w:t>
      </w:r>
      <w:r>
        <w:t xml:space="preserve">Full RORB model rebuild from first principles (variation if required due to fundamental change in catchment conditions or model structure found to be inadequate).</w:t>
      </w:r>
    </w:p>
    <w:p>
      <w:pPr>
        <w:spacing w:after="80"/>
      </w:pPr>
      <w:r>
        <w:rPr>
          <w:b/>
          <w:bCs/>
        </w:rPr>
        <w:t xml:space="preserve">Variation triggers: </w:t>
      </w:r>
      <w:r>
        <w:t xml:space="preserve">Fundamental change in catchment delineation or development layout requiring model rebuild; CCMA requiring model parameters or methodologies not consistent with Phase 1/2 approach.</w:t>
      </w:r>
    </w:p>
    <w:p>
      <w:pPr>
        <w:spacing w:after="80"/>
      </w:pPr>
      <w:r>
        <w:t xml:space="preserve"/>
      </w:r>
    </w:p>
    <w:p>
      <w:pPr>
        <w:spacing w:after="120"/>
      </w:pPr>
      <w:r>
        <w:t xml:space="preserve">Task 3.1.5 — TUFLOW Hydraulic Model — Flood Impact Assessment</w:t>
      </w:r>
    </w:p>
    <w:p>
      <w:pPr>
        <w:spacing w:after="80"/>
      </w:pPr>
      <w:r>
        <w:rPr>
          <w:b/>
          <w:bCs/>
        </w:rPr>
        <w:t xml:space="preserve">Purpose: </w:t>
      </w:r>
      <w:r>
        <w:t xml:space="preserve">Assess flood behaviour under existing and developed conditions, including climate change, to demonstrate that the proposed drainage strategy achieves no adverse flood impact on upstream and downstream properties and the receiving environment.</w:t>
      </w:r>
    </w:p>
    <w:p>
      <w:pPr>
        <w:spacing w:after="80"/>
      </w:pPr>
      <w:r>
        <w:rPr>
          <w:b/>
          <w:bCs/>
        </w:rPr>
        <w:t xml:space="preserve">Description: </w:t>
      </w:r>
      <w:r>
        <w:t xml:space="preserve">Build and calibrate a TUFLOW 2D hydraulic model covering the site and relevant portions of the receiving catchment. Simulate existing and developed conditions for the design flood events required by DPO50 and CCMA. Assess flood extent, depth, velocity, and hazard under each scenario. Assess impact on receiving waterways, including waterways draining toward Ramsar wetlands. Document climate change allowance in accordance with DPO50 requirements (1% AEP with climate change).</w:t>
      </w:r>
    </w:p>
    <w:p>
      <w:pPr>
        <w:spacing w:after="120"/>
      </w:pPr>
      <w:r>
        <w:t xml:space="preserve">Modelling required: TUFLOW 2D model build; existing conditions calibration (if gauged data available); scenario runs for pre- and post-development conditions with and without climate change; retarding basin performance validation.</w:t>
      </w:r>
    </w:p>
    <w:p>
      <w:pPr>
        <w:spacing w:after="120"/>
      </w:pPr>
      <w:r>
        <w:t xml:space="preserve">Input data required: LiDAR terrain data; RORB hydrograph outputs; hydraulic structure locations and dimensions; downstream boundary conditions (rating curves or tidal data if applicable); any available stream gauge or historic flood data for calibration.</w:t>
      </w:r>
    </w:p>
    <w:p>
      <w:pPr>
        <w:spacing w:after="120"/>
      </w:pPr>
      <w:r>
        <w:t xml:space="preserve">Key assumptions: This is a new TUFLOW model build — no existing TUFLOW model is available from Phase 1/2. Model domain will be agreed with CCMA and CoGG prior to build. Calibration data availability is not confirmed; if calibration data is not available, a sensitivity analysis approach to model uncertainty will be adopted and agreed with authorities. Downstream boundary conditions will be sourced from available regional flood studies or agreed with CCMA. The model domain does not extend to the full Ramsar wetland system unless specifically required by CCMA.</w:t>
      </w:r>
    </w:p>
    <w:p>
      <w:pPr>
        <w:spacing w:after="80"/>
      </w:pPr>
      <w:r>
        <w:rPr>
          <w:b/>
          <w:bCs/>
        </w:rPr>
        <w:t xml:space="preserve">Deliverables: </w:t>
      </w:r>
      <w:r>
        <w:t xml:space="preserve">TUFLOW model files; flood mapping (extent, depth, hazard) for each scenario; flood impact assessment section in DSMS Report; flood maps in PDF and GIS format.</w:t>
      </w:r>
    </w:p>
    <w:p>
      <w:pPr>
        <w:spacing w:after="80"/>
      </w:pPr>
      <w:r>
        <w:rPr>
          <w:b/>
          <w:bCs/>
        </w:rPr>
        <w:t xml:space="preserve">Exclusions: </w:t>
      </w:r>
      <w:r>
        <w:t xml:space="preserve">TUFLOW modelling of areas outside the agreed model domain; detailed flood warning or emergency management assessment; real-time or operational flood modelling.</w:t>
      </w:r>
    </w:p>
    <w:p>
      <w:pPr>
        <w:spacing w:after="80"/>
      </w:pPr>
      <w:r>
        <w:rPr>
          <w:b/>
          <w:bCs/>
        </w:rPr>
        <w:t xml:space="preserve">Variation triggers: </w:t>
      </w:r>
      <w:r>
        <w:t xml:space="preserve">CCMA or CoGG requiring model domain extension beyond agreed area; requirement for model calibration where no calibration data exists; discovery of significant flood mechanisms not identifiable from available LiDAR (e.g. underground drainage or culvert networks requiring detailed survey).</w:t>
      </w:r>
    </w:p>
    <w:p>
      <w:pPr>
        <w:spacing w:after="80"/>
      </w:pPr>
      <w:r>
        <w:t xml:space="preserve"/>
      </w:r>
    </w:p>
    <w:p>
      <w:pPr>
        <w:spacing w:after="120"/>
      </w:pPr>
      <w:r>
        <w:t xml:space="preserve">Task 3.1.6 — MUSIC Model Update — Stormwater Treatment Train</w:t>
      </w:r>
    </w:p>
    <w:p>
      <w:pPr>
        <w:spacing w:after="80"/>
      </w:pPr>
      <w:r>
        <w:rPr>
          <w:b/>
          <w:bCs/>
        </w:rPr>
        <w:t xml:space="preserve">Purpose: </w:t>
      </w:r>
      <w:r>
        <w:t xml:space="preserve">Confirm that the proposed stormwater treatment train meets best practice stormwater quality objectives as required by DPO50 and EPA guidance (Doc No 1739.1.202).</w:t>
      </w:r>
    </w:p>
    <w:p>
      <w:pPr>
        <w:spacing w:after="80"/>
      </w:pPr>
      <w:r>
        <w:rPr>
          <w:b/>
          <w:bCs/>
        </w:rPr>
        <w:t xml:space="preserve">Description: </w:t>
      </w:r>
      <w:r>
        <w:t xml:space="preserve">Update the existing Rain MUSIC model to reflect the current development layout, updated WSUD asset locations and sizes, and developed catchment characteristics. Run MUSIC for developed conditions to confirm compliance with best practice targets (typically 80% reduction in annual loads of TSS, 45% TP, 45% TN relative to unmitigated developed catchment). Adjust WSUD asset sizing as necessary to achieve compliance.</w:t>
      </w:r>
    </w:p>
    <w:p>
      <w:pPr>
        <w:spacing w:after="120"/>
      </w:pPr>
      <w:r>
        <w:t xml:space="preserve">Modelling required: MUSIC model update for developed conditions; scenario runs to confirm treatment targets; sensitivity testing of WSUD asset sizing.</w:t>
      </w:r>
    </w:p>
    <w:p>
      <w:pPr>
        <w:spacing w:after="120"/>
      </w:pPr>
      <w:r>
        <w:t xml:space="preserve">Input data required: Current development layout; proposed WSUD asset locations and preliminary sizes; CoGG and EPA best practice targets.</w:t>
      </w:r>
    </w:p>
    <w:p>
      <w:pPr>
        <w:spacing w:after="120"/>
      </w:pPr>
      <w:r>
        <w:t xml:space="preserve">Key assumptions: Existing Rain MUSIC model is fit for purpose and requires update rather than rebuild. WSUD asset types and locations are consistent with Phase 1/2 concept; any material change to WSUD strategy will be flagged prior to modelling. Best practice targets will be confirmed with CoGG prior to modelling.</w:t>
      </w:r>
    </w:p>
    <w:p>
      <w:pPr>
        <w:spacing w:after="80"/>
      </w:pPr>
      <w:r>
        <w:rPr>
          <w:b/>
          <w:bCs/>
        </w:rPr>
        <w:t xml:space="preserve">Deliverables: </w:t>
      </w:r>
      <w:r>
        <w:t xml:space="preserve">Updated MUSIC model files; MUSIC results summary; WSUD asset sizing schedule; incorporated into DSMS Report.</w:t>
      </w:r>
    </w:p>
    <w:p>
      <w:pPr>
        <w:spacing w:after="80"/>
      </w:pPr>
      <w:r>
        <w:rPr>
          <w:b/>
          <w:bCs/>
        </w:rPr>
        <w:t xml:space="preserve">Exclusions: </w:t>
      </w:r>
      <w:r>
        <w:t xml:space="preserve">MUSIC modelling for individual lots or private WSUD assets unless explicitly included in the agreed treatment train; MUSIC modelling for the IWM Plan (covered in Phase 3.3).</w:t>
      </w:r>
    </w:p>
    <w:p>
      <w:pPr>
        <w:spacing w:after="80"/>
      </w:pPr>
      <w:r>
        <w:rPr>
          <w:b/>
          <w:bCs/>
        </w:rPr>
        <w:t xml:space="preserve">Variation triggers: </w:t>
      </w:r>
      <w:r>
        <w:t xml:space="preserve">Material change to WSUD strategy or development layout after MUSIC modelling has commenced; CoGG or EPA requiring treatment targets or parameters not consistent with current guidance.</w:t>
      </w:r>
    </w:p>
    <w:p>
      <w:pPr>
        <w:spacing w:after="80"/>
      </w:pPr>
      <w:r>
        <w:t xml:space="preserve"/>
      </w:r>
    </w:p>
    <w:p>
      <w:pPr>
        <w:spacing w:after="120"/>
      </w:pPr>
      <w:r>
        <w:t xml:space="preserve">Task 3.1.7 — Liaison with Engineering Consultant</w:t>
      </w:r>
    </w:p>
    <w:p>
      <w:pPr>
        <w:spacing w:after="80"/>
      </w:pPr>
      <w:r>
        <w:rPr>
          <w:b/>
          <w:bCs/>
        </w:rPr>
        <w:t xml:space="preserve">Purpose: </w:t>
      </w:r>
      <w:r>
        <w:t xml:space="preserve">Ensure coordination between Rain's drainage and stormwater design and the broader engineering services design (roads, utilities, staging, grading) being undertaken by the project's civil engineering consultant.</w:t>
      </w:r>
    </w:p>
    <w:p>
      <w:pPr>
        <w:spacing w:after="80"/>
      </w:pPr>
      <w:r>
        <w:rPr>
          <w:b/>
          <w:bCs/>
        </w:rPr>
        <w:t xml:space="preserve">Description: </w:t>
      </w:r>
      <w:r>
        <w:t xml:space="preserve">Attend coordination meetings (assumed: two meetings, 1.5 hours each) with the civil engineering consultant to align drainage corridor locations, basin footprints, WSUD asset locations, road and lot grading, and staging sequence with the drainage strategy. Respond to technical queries arising from coordination. Review relevant civil engineering consultant drawings for drainage implications.</w:t>
      </w:r>
    </w:p>
    <w:p>
      <w:pPr>
        <w:spacing w:after="120"/>
      </w:pPr>
      <w:r>
        <w:t xml:space="preserve">Input data required: Civil engineering consultant contact details and current drawings; project programme; staging plan.</w:t>
      </w:r>
    </w:p>
    <w:p>
      <w:pPr>
        <w:spacing w:after="120"/>
      </w:pPr>
      <w:r>
        <w:t xml:space="preserve">Key assumptions: There is a separate civil engineering consultant engaged on this project. Coordination is limited to two meetings and associated follow-up. Rain will not produce civil engineering drawings, road design, or utility design. The civil engineering consultant is responsible for their own design; Rain's review is for drainage coordination purposes only.</w:t>
      </w:r>
    </w:p>
    <w:p>
      <w:pPr>
        <w:spacing w:after="80"/>
      </w:pPr>
      <w:r>
        <w:rPr>
          <w:b/>
          <w:bCs/>
        </w:rPr>
        <w:t xml:space="preserve">Deliverables: </w:t>
      </w:r>
      <w:r>
        <w:t xml:space="preserve">Meeting minutes (Rain to prepare); coordination comments on civil engineering drawings (informal mark-up); outcomes incorporated into DSMS.</w:t>
      </w:r>
    </w:p>
    <w:p>
      <w:pPr>
        <w:spacing w:after="80"/>
      </w:pPr>
      <w:r>
        <w:rPr>
          <w:b/>
          <w:bCs/>
        </w:rPr>
        <w:t xml:space="preserve">Exclusions: </w:t>
      </w:r>
      <w:r>
        <w:t xml:space="preserve">Civil engineering design; utility design; grading design; acting as lead consultant for precinct-wide engineering coordination.</w:t>
      </w:r>
    </w:p>
    <w:p>
      <w:pPr>
        <w:spacing w:after="80"/>
      </w:pPr>
      <w:r>
        <w:rPr>
          <w:b/>
          <w:bCs/>
        </w:rPr>
        <w:t xml:space="preserve">Variation triggers: </w:t>
      </w:r>
      <w:r>
        <w:t xml:space="preserve">Coordination meetings exceeding two in number; significant rework of drainage strategy required as a result of civil engineering changes.</w:t>
      </w:r>
    </w:p>
    <w:p>
      <w:pPr>
        <w:spacing w:after="80"/>
      </w:pPr>
      <w:r>
        <w:t xml:space="preserve"/>
      </w:r>
    </w:p>
    <w:p>
      <w:pPr>
        <w:spacing w:after="120"/>
      </w:pPr>
      <w:r>
        <w:t xml:space="preserve">Task 3.1.8 — Conceptual Plan — Drainage Corridors and WSUD Assets</w:t>
      </w:r>
    </w:p>
    <w:p>
      <w:pPr>
        <w:spacing w:after="80"/>
      </w:pPr>
      <w:r>
        <w:rPr>
          <w:b/>
          <w:bCs/>
        </w:rPr>
        <w:t xml:space="preserve">Purpose: </w:t>
      </w:r>
      <w:r>
        <w:t xml:space="preserve">Provide a spatial representation of the proposed drainage strategy for inclusion in the DSMS Report and for authority review.</w:t>
      </w:r>
    </w:p>
    <w:p>
      <w:pPr>
        <w:spacing w:after="80"/>
      </w:pPr>
      <w:r>
        <w:rPr>
          <w:b/>
          <w:bCs/>
        </w:rPr>
        <w:t xml:space="preserve">Description: </w:t>
      </w:r>
      <w:r>
        <w:t xml:space="preserve">Prepare a conceptual plan showing proposed drainage and waterway corridors, retarding basin locations and footprints, sediment ponds, wetlands, and other WSUD assets. The plan will be prepared to a level of detail appropriate for a DSMS (concept, not functional design) and will be consistent with the RORB, TUFLOW, and MUSIC model outputs. Prepared in CAD or GIS format.</w:t>
      </w:r>
    </w:p>
    <w:p>
      <w:pPr>
        <w:spacing w:after="120"/>
      </w:pPr>
      <w:r>
        <w:t xml:space="preserve">Input data required: Updated catchment plan; RORB and MUSIC model outputs; current site masterplan.</w:t>
      </w:r>
    </w:p>
    <w:p>
      <w:pPr>
        <w:spacing w:after="120"/>
      </w:pPr>
      <w:r>
        <w:t xml:space="preserve">Key assumptions: Conceptual plan is not a functional design or construction drawing. Asset sizing is indicative. Final locations and dimensions will be confirmed in Phase 4.</w:t>
      </w:r>
    </w:p>
    <w:p>
      <w:pPr>
        <w:spacing w:after="80"/>
      </w:pPr>
      <w:r>
        <w:rPr>
          <w:b/>
          <w:bCs/>
        </w:rPr>
        <w:t xml:space="preserve">Deliverables: </w:t>
      </w:r>
      <w:r>
        <w:t xml:space="preserve">Conceptual drainage and WSUD plan (PDF, A1 or A3 format); GIS or CAD source file.</w:t>
      </w:r>
    </w:p>
    <w:p>
      <w:pPr>
        <w:spacing w:after="80"/>
      </w:pPr>
      <w:r>
        <w:rPr>
          <w:b/>
          <w:bCs/>
        </w:rPr>
        <w:t xml:space="preserve">Exclusions: </w:t>
      </w:r>
      <w:r>
        <w:t xml:space="preserve">Functional design drawings; detailed engineering design; construction documentation.</w:t>
      </w:r>
    </w:p>
    <w:p>
      <w:pPr>
        <w:spacing w:after="80"/>
      </w:pPr>
      <w:r>
        <w:rPr>
          <w:b/>
          <w:bCs/>
        </w:rPr>
        <w:t xml:space="preserve">Variation triggers: </w:t>
      </w:r>
      <w:r>
        <w:t xml:space="preserve">Material change to site masterplan requiring redraft of conceptual plan after first issue.</w:t>
      </w:r>
    </w:p>
    <w:p>
      <w:pPr>
        <w:spacing w:after="80"/>
      </w:pPr>
      <w:r>
        <w:t xml:space="preserve"/>
      </w:r>
    </w:p>
    <w:p>
      <w:pPr>
        <w:spacing w:after="120"/>
      </w:pPr>
      <w:r>
        <w:t xml:space="preserve">Task 3.1.9 — DSMS Report Preparation and Authority Approval</w:t>
      </w:r>
    </w:p>
    <w:p>
      <w:pPr>
        <w:spacing w:after="80"/>
      </w:pPr>
      <w:r>
        <w:rPr>
          <w:b/>
          <w:bCs/>
        </w:rPr>
        <w:t xml:space="preserve">Purpose: </w:t>
      </w:r>
      <w:r>
        <w:t xml:space="preserve">Document all Phase 3.1 work in a formal DSMS Report suitable for submission to CCMA and CoGG for approval.</w:t>
      </w:r>
    </w:p>
    <w:p>
      <w:pPr>
        <w:spacing w:after="80"/>
      </w:pPr>
      <w:r>
        <w:rPr>
          <w:b/>
          <w:bCs/>
        </w:rPr>
        <w:t xml:space="preserve">Description: </w:t>
      </w:r>
      <w:r>
        <w:t xml:space="preserve">Prepare the DSMS Report incorporating all tasks above: background review, GAP analysis, catchment plan, RORB modelling, TUFLOW flood impact assessment, MUSIC stormwater quality modelling, WSUD conceptual design, and coordination outcomes. Report to be structured in accordance with CoGG and CCMA requirements and DPO50 Clause 4.0. Submit to CCMA and CoGG. Manage two rounds of authority review and address comments. Resubmit for approval.</w:t>
      </w:r>
    </w:p>
    <w:p>
      <w:pPr>
        <w:spacing w:after="120"/>
      </w:pPr>
      <w:r>
        <w:t xml:space="preserve">Input data required: All outputs from Tasks 3.1.1–3.1.8; confirmed CoGG and CCMA report format requirements.</w:t>
      </w:r>
    </w:p>
    <w:p>
      <w:pPr>
        <w:spacing w:after="120"/>
      </w:pPr>
      <w:r>
        <w:t xml:space="preserve">Key assumptions: Two rounds of authority review are assumed (initial submission plus one set of consolidated comments and response). If authorities require more than two rounds, additional fees apply. Rain will prepare the authority response memorandum and revised report sections as required.</w:t>
      </w:r>
    </w:p>
    <w:p>
      <w:pPr>
        <w:spacing w:after="80"/>
      </w:pPr>
      <w:r>
        <w:rPr>
          <w:b/>
          <w:bCs/>
        </w:rPr>
        <w:t xml:space="preserve">Deliverables: </w:t>
      </w:r>
      <w:r>
        <w:t xml:space="preserve">DSMS Report (draft for client review; revised draft for authority submission; final approved version); authority response memorandum (if required); all in PDF format. Model files submitted to authorities as required.</w:t>
      </w:r>
    </w:p>
    <w:p>
      <w:pPr>
        <w:spacing w:after="80"/>
      </w:pPr>
      <w:r>
        <w:rPr>
          <w:b/>
          <w:bCs/>
        </w:rPr>
        <w:t xml:space="preserve">Exclusions: </w:t>
      </w:r>
      <w:r>
        <w:t xml:space="preserve">Legal advice on DPO50 conditions; planning permit submissions; representation at VCAT.</w:t>
      </w:r>
    </w:p>
    <w:p>
      <w:pPr>
        <w:spacing w:after="80"/>
      </w:pPr>
      <w:r>
        <w:rPr>
          <w:b/>
          <w:bCs/>
        </w:rPr>
        <w:t xml:space="preserve">Variation triggers: </w:t>
      </w:r>
      <w:r>
        <w:t xml:space="preserve">More than two rounds of authority review; authority requesting additional modelling scenarios, assessments, or studies not included in the agreed scope; material change to DPO50 Clause 4.0 requirements after commencement.</w:t>
      </w:r>
    </w:p>
    <w:p>
      <w:pPr>
        <w:spacing w:after="80"/>
      </w:pPr>
      <w:r>
        <w:t xml:space="preserve"/>
      </w:r>
    </w:p>
    <w:p>
      <w:pPr>
        <w:spacing w:after="120"/>
      </w:pPr>
      <w:r>
        <w:t xml:space="preserve">---</w:t>
      </w:r>
    </w:p>
    <w:p>
      <w:pPr>
        <w:spacing w:after="80"/>
      </w:pPr>
      <w:r>
        <w:t xml:space="preserve"/>
      </w:r>
    </w:p>
    <w:p>
      <w:pPr>
        <w:spacing w:after="120"/>
      </w:pPr>
      <w:r>
        <w:t xml:space="preserve">PHASE 3.2 — DRAINAGE ASSET MANAGEMENT PLAN (DAMP)</w:t>
      </w:r>
    </w:p>
    <w:p>
      <w:pPr>
        <w:spacing w:after="120"/>
      </w:pPr>
      <w:r>
        <w:t xml:space="preserve">Approval required from: CoGG</w:t>
      </w:r>
    </w:p>
    <w:p>
      <w:pPr>
        <w:spacing w:after="80"/>
      </w:pPr>
      <w:r>
        <w:t xml:space="preserve"/>
      </w:r>
    </w:p>
    <w:p>
      <w:pPr>
        <w:spacing w:after="120"/>
      </w:pPr>
      <w:r>
        <w:t xml:space="preserve">Task 3.2.1 — Asset Register</w:t>
      </w:r>
    </w:p>
    <w:p>
      <w:pPr>
        <w:spacing w:after="80"/>
      </w:pPr>
      <w:r>
        <w:rPr>
          <w:b/>
          <w:bCs/>
        </w:rPr>
        <w:t xml:space="preserve">Purpose: </w:t>
      </w:r>
      <w:r>
        <w:t xml:space="preserve">Establish a comprehensive inventory of all drainage assets to be vested in CoGG or retained under private management.</w:t>
      </w:r>
    </w:p>
    <w:p>
      <w:pPr>
        <w:spacing w:after="80"/>
      </w:pPr>
      <w:r>
        <w:rPr>
          <w:b/>
          <w:bCs/>
        </w:rPr>
        <w:t xml:space="preserve">Description: </w:t>
      </w:r>
      <w:r>
        <w:t xml:space="preserve">Prepare an asset register covering all drainage and stormwater infrastructure proposed under the DSMS, including pipes, pits, open channels, retarding basins, sediment ponds, wetlands, and associated structures. Asset register to include asset type, location (co-ordinates or lot reference), estimated size/dimensions, design standard, material, estimated installation date, responsible owner, and estimated replacement value.</w:t>
      </w:r>
    </w:p>
    <w:p>
      <w:pPr>
        <w:spacing w:after="120"/>
      </w:pPr>
      <w:r>
        <w:t xml:space="preserve">Input data required: Functional design outputs (Phase 4); if Phase 4 is not yet complete, preliminary asset register based on Phase 3.1 concept design.</w:t>
      </w:r>
    </w:p>
    <w:p>
      <w:pPr>
        <w:spacing w:after="120"/>
      </w:pPr>
      <w:r>
        <w:t xml:space="preserve">Key assumptions: Asset register will be based on Phase 3.1 concept design if Phase 4 is not completed concurrently. A finalised asset register will require updating once Phase 4 is complete. This proposal assumes Phase 3.2 is prepared concurrently with or shortly after Phase 3.1, with a Phase 4 update allowance included.</w:t>
      </w:r>
    </w:p>
    <w:p>
      <w:pPr>
        <w:spacing w:after="80"/>
      </w:pPr>
      <w:r>
        <w:rPr>
          <w:b/>
          <w:bCs/>
        </w:rPr>
        <w:t xml:space="preserve">Deliverables: </w:t>
      </w:r>
      <w:r>
        <w:t xml:space="preserve">Asset register (Excel spreadsheet and PDF); incorporated into DAMP Report.</w:t>
      </w:r>
    </w:p>
    <w:p>
      <w:pPr>
        <w:spacing w:after="80"/>
      </w:pPr>
      <w:r>
        <w:rPr>
          <w:b/>
          <w:bCs/>
        </w:rPr>
        <w:t xml:space="preserve">Variation triggers: </w:t>
      </w:r>
      <w:r>
        <w:t xml:space="preserve">Material change to asset inventory after draft asset register has been issued.</w:t>
      </w:r>
    </w:p>
    <w:p>
      <w:pPr>
        <w:spacing w:after="80"/>
      </w:pPr>
      <w:r>
        <w:t xml:space="preserve"/>
      </w:r>
    </w:p>
    <w:p>
      <w:pPr>
        <w:spacing w:after="120"/>
      </w:pPr>
      <w:r>
        <w:t xml:space="preserve">Task 3.2.2 — Public/Private Ownership Delineation</w:t>
      </w:r>
    </w:p>
    <w:p>
      <w:pPr>
        <w:spacing w:after="80"/>
      </w:pPr>
      <w:r>
        <w:rPr>
          <w:b/>
          <w:bCs/>
        </w:rPr>
        <w:t xml:space="preserve">Purpose: </w:t>
      </w:r>
      <w:r>
        <w:t xml:space="preserve">Clearly define the boundary between publicly vested and privately managed drainage assets to enable CoGG to confirm vesting and maintenance responsibilities.</w:t>
      </w:r>
    </w:p>
    <w:p>
      <w:pPr>
        <w:spacing w:after="80"/>
      </w:pPr>
      <w:r>
        <w:rPr>
          <w:b/>
          <w:bCs/>
        </w:rPr>
        <w:t xml:space="preserve">Description: </w:t>
      </w:r>
      <w:r>
        <w:t xml:space="preserve">Prepare a plan and schedule delineating which drainage assets are to be vested in CoGG (public) and which are to be retained under private ownership or body corporate management. Consult with CoGG to confirm their requirements and acceptance criteria for asset vesting. Document the delineation criteria and any agreed arrangements for transition of assets.</w:t>
      </w:r>
    </w:p>
    <w:p>
      <w:pPr>
        <w:spacing w:after="120"/>
      </w:pPr>
      <w:r>
        <w:t xml:space="preserve">Input data required: CoGG vesting policy and requirements; current site masterplan; draft DSMS.</w:t>
      </w:r>
    </w:p>
    <w:p>
      <w:pPr>
        <w:spacing w:after="120"/>
      </w:pPr>
      <w:r>
        <w:t xml:space="preserve">Key assumptions: CoGG's standard vesting policy applies. Any non-standard arrangements will require additional negotiation and may affect programme.</w:t>
      </w:r>
    </w:p>
    <w:p>
      <w:pPr>
        <w:spacing w:after="80"/>
      </w:pPr>
      <w:r>
        <w:rPr>
          <w:b/>
          <w:bCs/>
        </w:rPr>
        <w:t xml:space="preserve">Deliverables: </w:t>
      </w:r>
      <w:r>
        <w:t xml:space="preserve">Ownership delineation plan (PDF and GIS); ownership schedule; incorporated into DAMP Report.</w:t>
      </w:r>
    </w:p>
    <w:p>
      <w:pPr>
        <w:spacing w:after="80"/>
      </w:pPr>
      <w:r>
        <w:rPr>
          <w:b/>
          <w:bCs/>
        </w:rPr>
        <w:t xml:space="preserve">Variation triggers: </w:t>
      </w:r>
      <w:r>
        <w:t xml:space="preserve">CoGG requiring non-standard vesting arrangements requiring additional negotiation or redesign.</w:t>
      </w:r>
    </w:p>
    <w:p>
      <w:pPr>
        <w:spacing w:after="80"/>
      </w:pPr>
      <w:r>
        <w:t xml:space="preserve"/>
      </w:r>
    </w:p>
    <w:p>
      <w:pPr>
        <w:spacing w:after="120"/>
      </w:pPr>
      <w:r>
        <w:t xml:space="preserve">Task 3.2.3 — Operations and Maintenance Arrangements</w:t>
      </w:r>
    </w:p>
    <w:p>
      <w:pPr>
        <w:spacing w:after="80"/>
      </w:pPr>
      <w:r>
        <w:rPr>
          <w:b/>
          <w:bCs/>
        </w:rPr>
        <w:t xml:space="preserve">Purpose: </w:t>
      </w:r>
      <w:r>
        <w:t xml:space="preserve">Document the long-term operational and maintenance obligations for all drainage assets, establishing clear responsibility and frequency requirements.</w:t>
      </w:r>
    </w:p>
    <w:p>
      <w:pPr>
        <w:spacing w:after="80"/>
      </w:pPr>
      <w:r>
        <w:rPr>
          <w:b/>
          <w:bCs/>
        </w:rPr>
        <w:t xml:space="preserve">Description: </w:t>
      </w:r>
      <w:r>
        <w:t xml:space="preserve">Prepare a maintenance schedule covering all drainage assets in the asset register. Document maintenance activities, frequency, responsible party, and estimated annual cost. Establish inspection and monitoring protocols. Document how maintenance obligations will be funded and enforced (e.g. body corporate, landowner agreement, CoGG maintenance schedule).</w:t>
      </w:r>
    </w:p>
    <w:p>
      <w:pPr>
        <w:spacing w:after="120"/>
      </w:pPr>
      <w:r>
        <w:t xml:space="preserve">Input data required: Asset register (Task 3.2.1); CoGG maintenance standard requirements; any agreed maintenance obligations from the DPO50 process.</w:t>
      </w:r>
    </w:p>
    <w:p>
      <w:pPr>
        <w:spacing w:after="120"/>
      </w:pPr>
      <w:r>
        <w:t xml:space="preserve">Key assumptions: CoGG's standard maintenance schedule applies. Maintenance cost rates will be based on Rain's standard benchmarks and publicly available unit rate data. Geotechnical or ecological inspection requirements are not included unless specifically agreed.</w:t>
      </w:r>
    </w:p>
    <w:p>
      <w:pPr>
        <w:spacing w:after="80"/>
      </w:pPr>
      <w:r>
        <w:rPr>
          <w:b/>
          <w:bCs/>
        </w:rPr>
        <w:t xml:space="preserve">Deliverables: </w:t>
      </w:r>
      <w:r>
        <w:t xml:space="preserve">Maintenance schedule; inspection and monitoring protocols; incorporated into DAMP Report.</w:t>
      </w:r>
    </w:p>
    <w:p>
      <w:pPr>
        <w:spacing w:after="80"/>
      </w:pPr>
      <w:r>
        <w:rPr>
          <w:b/>
          <w:bCs/>
        </w:rPr>
        <w:t xml:space="preserve">Exclusions: </w:t>
      </w:r>
      <w:r>
        <w:t xml:space="preserve">Ecological assessment of WSUD assets; geotechnical inspection protocols; preparation of construction contracts or maintenance contracts.</w:t>
      </w:r>
    </w:p>
    <w:p>
      <w:pPr>
        <w:spacing w:after="80"/>
      </w:pPr>
      <w:r>
        <w:rPr>
          <w:b/>
          <w:bCs/>
        </w:rPr>
        <w:t xml:space="preserve">Variation triggers: </w:t>
      </w:r>
      <w:r>
        <w:t xml:space="preserve">CoGG requiring non-standard or unusually detailed maintenance protocols.</w:t>
      </w:r>
    </w:p>
    <w:p>
      <w:pPr>
        <w:spacing w:after="80"/>
      </w:pPr>
      <w:r>
        <w:t xml:space="preserve"/>
      </w:r>
    </w:p>
    <w:p>
      <w:pPr>
        <w:spacing w:after="120"/>
      </w:pPr>
      <w:r>
        <w:t xml:space="preserve">Task 3.2.4 — Cost Apportionment and Lifecycle Costing</w:t>
      </w:r>
    </w:p>
    <w:p>
      <w:pPr>
        <w:spacing w:after="80"/>
      </w:pPr>
      <w:r>
        <w:rPr>
          <w:b/>
          <w:bCs/>
        </w:rPr>
        <w:t xml:space="preserve">Purpose: </w:t>
      </w:r>
      <w:r>
        <w:t xml:space="preserve">Provide cost apportionment and lifecycle cost estimates to support equitable distribution of ongoing maintenance costs across landowners and CoGG.</w:t>
      </w:r>
    </w:p>
    <w:p>
      <w:pPr>
        <w:spacing w:after="80"/>
      </w:pPr>
      <w:r>
        <w:rPr>
          <w:b/>
          <w:bCs/>
        </w:rPr>
        <w:t xml:space="preserve">Description: </w:t>
      </w:r>
      <w:r>
        <w:t xml:space="preserve">Prepare lifecycle cost estimates for all drainage assets, covering inspection, routine maintenance, periodic maintenance, and asset replacement over a nominated lifecycle period (typically 50–100 years). Apportion costs across the landowner group and CoGG in accordance with the agreed ownership delineation. Document the apportionment methodology.</w:t>
      </w:r>
    </w:p>
    <w:p>
      <w:pPr>
        <w:spacing w:after="120"/>
      </w:pPr>
      <w:r>
        <w:t xml:space="preserve">Input data required: Asset register; ownership delineation; maintenance schedule; CoGG requirements for cost apportionment methodology.</w:t>
      </w:r>
    </w:p>
    <w:p>
      <w:pPr>
        <w:spacing w:after="120"/>
      </w:pPr>
      <w:r>
        <w:t xml:space="preserve">Key assumptions: Lifecycle costing will be based on Rain's standard benchmarks. Cost apportionment methodology will be agreed with the client and CoGG prior to finalisation. Actual maintenance costs will vary from estimates.</w:t>
      </w:r>
    </w:p>
    <w:p>
      <w:pPr>
        <w:spacing w:after="80"/>
      </w:pPr>
      <w:r>
        <w:rPr>
          <w:b/>
          <w:bCs/>
        </w:rPr>
        <w:t xml:space="preserve">Deliverables: </w:t>
      </w:r>
      <w:r>
        <w:t xml:space="preserve">Lifecycle cost schedule; cost apportionment table; incorporated into DAMP Report.</w:t>
      </w:r>
    </w:p>
    <w:p>
      <w:pPr>
        <w:spacing w:after="80"/>
      </w:pPr>
      <w:r>
        <w:rPr>
          <w:b/>
          <w:bCs/>
        </w:rPr>
        <w:t xml:space="preserve">Exclusions: </w:t>
      </w:r>
      <w:r>
        <w:t xml:space="preserve">Quantity surveying; independent cost review; legal advice on cost apportionment agreements.</w:t>
      </w:r>
    </w:p>
    <w:p>
      <w:pPr>
        <w:spacing w:after="80"/>
      </w:pPr>
      <w:r>
        <w:rPr>
          <w:b/>
          <w:bCs/>
        </w:rPr>
        <w:t xml:space="preserve">Variation triggers: </w:t>
      </w:r>
      <w:r>
        <w:t xml:space="preserve">CoG</w:t>
      </w:r>
    </w:p>
    <w:p>
      <w:pPr>
        <w:pageBreakBefore/>
      </w:pPr>
      <w:r>
        <w:t xml:space="preserve"/>
      </w:r>
    </w:p>
    <w:p>
      <w:pPr>
        <w:pStyle w:val="Heading1"/>
        <w:spacing w:after="120" w:before="360"/>
      </w:pPr>
      <w:r>
        <w:rPr>
          <w:color w:val="2C5F5F"/>
        </w:rPr>
        <w:t xml:space="preserve">Methodology</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Deliverables</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Authority Requirements</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DPO / RFQ Compliance Matrix</w:t>
      </w:r>
    </w:p>
    <w:p>
      <w:pPr>
        <w:spacing w:after="120"/>
      </w:pPr>
      <w:r>
        <w:rPr>
          <w:i/>
          <w:iCs/>
        </w:rPr>
        <w:t xml:space="preserve">Each row maps a stated requirement to Rain's proposed deliverable and the phase in which it is addressed.</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Required Input Data</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Assumptions</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Exclusions</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Optional and Provisional Items</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Risks, Clarifications and Variation Triggers</w:t>
      </w:r>
    </w:p>
    <w:p>
      <w:pPr>
        <w:spacing w:after="120"/>
      </w:pPr>
      <w:r>
        <w:rPr>
          <w:i/>
          <w:iCs/>
          <w:color w:val="888888"/>
        </w:rPr>
        <w:t xml:space="preserve">[Content not generated — check extraction and try again]</w:t>
      </w:r>
    </w:p>
    <w:p>
      <w:pPr>
        <w:pageBreakBefore/>
      </w:pPr>
      <w:r>
        <w:t xml:space="preserve"/>
      </w:r>
    </w:p>
    <w:p>
      <w:pPr>
        <w:pStyle w:val="Heading1"/>
        <w:spacing w:after="120" w:before="360"/>
      </w:pPr>
      <w:r>
        <w:rPr>
          <w:color w:val="2C5F5F"/>
        </w:rPr>
        <w:t xml:space="preserve">Recommended Fee Structure</w:t>
      </w:r>
    </w:p>
    <w:p>
      <w:pPr>
        <w:spacing w:after="160"/>
      </w:pPr>
      <w:r>
        <w:rPr>
          <w:b/>
          <w:bCs/>
          <w:color w:val="B45309"/>
        </w:rPr>
        <w:t xml:space="preserve">Fee amounts must be entered manually. This section shows the phase structure and fee basis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5F5F" w:val="solid"/>
            <w:tcMar>
              <w:top w:type="dxa" w:w="80"/>
              <w:left w:type="dxa" w:w="120"/>
              <w:bottom w:type="dxa" w:w="80"/>
              <w:right w:type="dxa" w:w="120"/>
            </w:tcMar>
          </w:tcPr>
          <w:p>
            <w:r>
              <w:rPr>
                <w:b/>
                <w:bCs/>
                <w:color w:val="ffffff"/>
              </w:rPr>
              <w:t xml:space="preserve">Phase / Deliverable</w:t>
            </w:r>
          </w:p>
        </w:tc>
        <w:tc>
          <w:tcPr>
            <w:shd w:color="2C5F5F" w:val="solid"/>
            <w:tcMar>
              <w:top w:type="dxa" w:w="80"/>
              <w:left w:type="dxa" w:w="120"/>
              <w:bottom w:type="dxa" w:w="80"/>
              <w:right w:type="dxa" w:w="120"/>
            </w:tcMar>
          </w:tcPr>
          <w:p>
            <w:r>
              <w:rPr>
                <w:b/>
                <w:bCs/>
                <w:color w:val="ffffff"/>
              </w:rPr>
              <w:t xml:space="preserve">Fee (Exc. GST)</w:t>
            </w:r>
          </w:p>
        </w:tc>
        <w:tc>
          <w:tcPr>
            <w:shd w:color="2C5F5F" w:val="solid"/>
            <w:tcMar>
              <w:top w:type="dxa" w:w="80"/>
              <w:left w:type="dxa" w:w="120"/>
              <w:bottom w:type="dxa" w:w="80"/>
              <w:right w:type="dxa" w:w="120"/>
            </w:tcMar>
          </w:tcPr>
          <w:p>
            <w:r>
              <w:rPr>
                <w:b/>
                <w:bCs/>
                <w:color w:val="ffffff"/>
              </w:rPr>
              <w:t xml:space="preserve">Fee Basis</w:t>
            </w:r>
          </w:p>
        </w:tc>
      </w:tr>
      <w:tr>
        <w:tc>
          <w:tcPr>
            <w:tcMar>
              <w:top w:type="dxa" w:w="80"/>
              <w:left w:type="dxa" w:w="120"/>
              <w:bottom w:type="dxa" w:w="80"/>
              <w:right w:type="dxa" w:w="120"/>
            </w:tcMar>
          </w:tcPr>
          <w:p>
            <w:r>
              <w:t xml:space="preserve">Phase 3.1 – Drainage and Stormwater Management Strategy (CCMA &amp; CoGG approval)</w:t>
            </w:r>
          </w:p>
        </w:tc>
        <w:tc>
          <w:tcPr>
            <w:tcMar>
              <w:top w:type="dxa" w:w="80"/>
              <w:left w:type="dxa" w:w="120"/>
              <w:bottom w:type="dxa" w:w="80"/>
              <w:right w:type="dxa" w:w="120"/>
            </w:tcMar>
          </w:tcPr>
          <w:p>
            <w:r>
              <w:t xml:space="preserve">[Enter fee]</w:t>
            </w:r>
          </w:p>
        </w:tc>
        <w:tc>
          <w:tcPr>
            <w:tcMar>
              <w:top w:type="dxa" w:w="80"/>
              <w:left w:type="dxa" w:w="120"/>
              <w:bottom w:type="dxa" w:w="80"/>
              <w:right w:type="dxa" w:w="120"/>
            </w:tcMar>
          </w:tcPr>
          <w:p>
            <w:r>
              <w:t xml:space="preserve">Fixed fee</w:t>
            </w:r>
          </w:p>
        </w:tc>
      </w:tr>
      <w:tr>
        <w:tc>
          <w:tcPr>
            <w:shd w:color="F5F5F5" w:val="solid"/>
            <w:tcMar>
              <w:top w:type="dxa" w:w="80"/>
              <w:left w:type="dxa" w:w="120"/>
              <w:bottom w:type="dxa" w:w="80"/>
              <w:right w:type="dxa" w:w="120"/>
            </w:tcMar>
          </w:tcPr>
          <w:p>
            <w:r>
              <w:t xml:space="preserve">Phase 3.2 – Drainage Asset Management Plan (CoGG approval)</w:t>
            </w:r>
          </w:p>
        </w:tc>
        <w:tc>
          <w:tcPr>
            <w:shd w:color="F5F5F5" w:val="solid"/>
            <w:tcMar>
              <w:top w:type="dxa" w:w="80"/>
              <w:left w:type="dxa" w:w="120"/>
              <w:bottom w:type="dxa" w:w="80"/>
              <w:right w:type="dxa" w:w="120"/>
            </w:tcMar>
          </w:tcPr>
          <w:p>
            <w:r>
              <w:t xml:space="preserve">[Enter fee]</w:t>
            </w:r>
          </w:p>
        </w:tc>
        <w:tc>
          <w:tcPr>
            <w:shd w:color="F5F5F5" w:val="solid"/>
            <w:tcMar>
              <w:top w:type="dxa" w:w="80"/>
              <w:left w:type="dxa" w:w="120"/>
              <w:bottom w:type="dxa" w:w="80"/>
              <w:right w:type="dxa" w:w="120"/>
            </w:tcMar>
          </w:tcPr>
          <w:p>
            <w:r>
              <w:t xml:space="preserve">Fixed fee</w:t>
            </w:r>
          </w:p>
        </w:tc>
      </w:tr>
      <w:tr>
        <w:tc>
          <w:tcPr>
            <w:tcMar>
              <w:top w:type="dxa" w:w="80"/>
              <w:left w:type="dxa" w:w="120"/>
              <w:bottom w:type="dxa" w:w="80"/>
              <w:right w:type="dxa" w:w="120"/>
            </w:tcMar>
          </w:tcPr>
          <w:p>
            <w:r>
              <w:t xml:space="preserve">Phase 3.3 – Integrated Water Management Plan (CoGG approval)</w:t>
            </w:r>
          </w:p>
        </w:tc>
        <w:tc>
          <w:tcPr>
            <w:tcMar>
              <w:top w:type="dxa" w:w="80"/>
              <w:left w:type="dxa" w:w="120"/>
              <w:bottom w:type="dxa" w:w="80"/>
              <w:right w:type="dxa" w:w="120"/>
            </w:tcMar>
          </w:tcPr>
          <w:p>
            <w:r>
              <w:t xml:space="preserve">[Enter fee]</w:t>
            </w:r>
          </w:p>
        </w:tc>
        <w:tc>
          <w:tcPr>
            <w:tcMar>
              <w:top w:type="dxa" w:w="80"/>
              <w:left w:type="dxa" w:w="120"/>
              <w:bottom w:type="dxa" w:w="80"/>
              <w:right w:type="dxa" w:w="120"/>
            </w:tcMar>
          </w:tcPr>
          <w:p>
            <w:r>
              <w:t xml:space="preserve">Fixed fee</w:t>
            </w:r>
          </w:p>
        </w:tc>
      </w:tr>
      <w:tr>
        <w:tc>
          <w:tcPr>
            <w:shd w:color="F5F5F5" w:val="solid"/>
            <w:tcMar>
              <w:top w:type="dxa" w:w="80"/>
              <w:left w:type="dxa" w:w="120"/>
              <w:bottom w:type="dxa" w:w="80"/>
              <w:right w:type="dxa" w:w="120"/>
            </w:tcMar>
          </w:tcPr>
          <w:p>
            <w:r>
              <w:t xml:space="preserve">Phase 4 – Functional Design Plans and Report (CoGG approval)</w:t>
            </w:r>
          </w:p>
        </w:tc>
        <w:tc>
          <w:tcPr>
            <w:shd w:color="F5F5F5" w:val="solid"/>
            <w:tcMar>
              <w:top w:type="dxa" w:w="80"/>
              <w:left w:type="dxa" w:w="120"/>
              <w:bottom w:type="dxa" w:w="80"/>
              <w:right w:type="dxa" w:w="120"/>
            </w:tcMar>
          </w:tcPr>
          <w:p>
            <w:r>
              <w:t xml:space="preserve">[Enter fee]</w:t>
            </w:r>
          </w:p>
        </w:tc>
        <w:tc>
          <w:tcPr>
            <w:shd w:color="F5F5F5" w:val="solid"/>
            <w:tcMar>
              <w:top w:type="dxa" w:w="80"/>
              <w:left w:type="dxa" w:w="120"/>
              <w:bottom w:type="dxa" w:w="80"/>
              <w:right w:type="dxa" w:w="120"/>
            </w:tcMar>
          </w:tcPr>
          <w:p>
            <w:r>
              <w:t xml:space="preserve">Fixed fee</w:t>
            </w:r>
          </w:p>
        </w:tc>
      </w:tr>
      <w:tr>
        <w:tc>
          <w:tcPr>
            <w:tcMar>
              <w:top w:type="dxa" w:w="80"/>
              <w:left w:type="dxa" w:w="120"/>
              <w:bottom w:type="dxa" w:w="80"/>
              <w:right w:type="dxa" w:w="120"/>
            </w:tcMar>
          </w:tcPr>
          <w:p>
            <w:r>
              <w:t xml:space="preserve">Phase 5.1 – Asset Costing (Provisional)</w:t>
            </w:r>
          </w:p>
        </w:tc>
        <w:tc>
          <w:tcPr>
            <w:tcMar>
              <w:top w:type="dxa" w:w="80"/>
              <w:left w:type="dxa" w:w="120"/>
              <w:bottom w:type="dxa" w:w="80"/>
              <w:right w:type="dxa" w:w="120"/>
            </w:tcMar>
          </w:tcPr>
          <w:p>
            <w:r>
              <w:t xml:space="preserve">[Enter fee]</w:t>
            </w:r>
          </w:p>
        </w:tc>
        <w:tc>
          <w:tcPr>
            <w:tcMar>
              <w:top w:type="dxa" w:w="80"/>
              <w:left w:type="dxa" w:w="120"/>
              <w:bottom w:type="dxa" w:w="80"/>
              <w:right w:type="dxa" w:w="120"/>
            </w:tcMar>
          </w:tcPr>
          <w:p>
            <w:r>
              <w:t xml:space="preserve">Fixed fee</w:t>
            </w:r>
          </w:p>
        </w:tc>
      </w:tr>
      <w:tr>
        <w:tc>
          <w:tcPr>
            <w:shd w:color="F5F5F5" w:val="solid"/>
            <w:tcMar>
              <w:top w:type="dxa" w:w="80"/>
              <w:left w:type="dxa" w:w="120"/>
              <w:bottom w:type="dxa" w:w="80"/>
              <w:right w:type="dxa" w:w="120"/>
            </w:tcMar>
          </w:tcPr>
          <w:p>
            <w:r>
              <w:t xml:space="preserve">Phase 5.2 – Ongoing Technical Advice (as required, T&amp;M)</w:t>
            </w:r>
          </w:p>
        </w:tc>
        <w:tc>
          <w:tcPr>
            <w:shd w:color="F5F5F5" w:val="solid"/>
            <w:tcMar>
              <w:top w:type="dxa" w:w="80"/>
              <w:left w:type="dxa" w:w="120"/>
              <w:bottom w:type="dxa" w:w="80"/>
              <w:right w:type="dxa" w:w="120"/>
            </w:tcMar>
          </w:tcPr>
          <w:p>
            <w:r>
              <w:t xml:space="preserve">[Enter fee]</w:t>
            </w:r>
          </w:p>
        </w:tc>
        <w:tc>
          <w:tcPr>
            <w:shd w:color="F5F5F5" w:val="solid"/>
            <w:tcMar>
              <w:top w:type="dxa" w:w="80"/>
              <w:left w:type="dxa" w:w="120"/>
              <w:bottom w:type="dxa" w:w="80"/>
              <w:right w:type="dxa" w:w="120"/>
            </w:tcMar>
          </w:tcPr>
          <w:p>
            <w:r>
              <w:t xml:space="preserve">Fixed fee</w:t>
            </w:r>
          </w:p>
        </w:tc>
      </w:tr>
    </w:tbl>
    <w:p>
      <w:pPr>
        <w:spacing w:after="80"/>
      </w:pPr>
      <w:r>
        <w:t xml:space="preserve"/>
      </w:r>
    </w:p>
    <w:p>
      <w:pPr>
        <w:pStyle w:val="ListParagraph"/>
        <w:numPr>
          <w:ilvl w:val="0"/>
          <w:numId w:val="2"/>
        </w:numPr>
        <w:spacing w:after="80"/>
      </w:pPr>
      <w:r>
        <w:t xml:space="preserve">GST is additional at 10%.</w:t>
      </w:r>
    </w:p>
    <w:p>
      <w:pPr>
        <w:pStyle w:val="ListParagraph"/>
        <w:numPr>
          <w:ilvl w:val="0"/>
          <w:numId w:val="2"/>
        </w:numPr>
        <w:spacing w:after="80"/>
      </w:pPr>
      <w:r>
        <w:t xml:space="preserve">Invoicing: monthly progress claims.</w:t>
      </w:r>
    </w:p>
    <w:p>
      <w:pPr>
        <w:pStyle w:val="ListParagraph"/>
        <w:numPr>
          <w:ilvl w:val="0"/>
          <w:numId w:val="2"/>
        </w:numPr>
        <w:spacing w:after="80"/>
      </w:pPr>
      <w:r>
        <w:t xml:space="preserve">Full phase payment required prior to release of deliverables for authority submission.</w:t>
      </w:r>
    </w:p>
    <w:p>
      <w:pPr>
        <w:pStyle w:val="ListParagraph"/>
        <w:numPr>
          <w:ilvl w:val="0"/>
          <w:numId w:val="2"/>
        </w:numPr>
        <w:spacing w:after="80"/>
      </w:pPr>
      <w:r>
        <w:t xml:space="preserve">Payment terms: 14 days from invoice date.</w:t>
      </w:r>
    </w:p>
    <w:p>
      <w:pPr>
        <w:spacing w:after="120"/>
      </w:pPr>
      <w:r>
        <w:rPr>
          <w:i/>
          <w:iCs/>
          <w:color w:val="888888"/>
        </w:rPr>
        <w:t xml:space="preserve">[Content not generated — check extraction and try again]</w:t>
      </w:r>
    </w:p>
    <w:p>
      <w:pPr>
        <w:pageBreakBefore/>
      </w:pPr>
      <w:r>
        <w:t xml:space="preserve"/>
      </w:r>
    </w:p>
    <w:p>
      <w:pPr>
        <w:pStyle w:val="Heading1"/>
        <w:spacing w:after="120" w:before="360"/>
      </w:pPr>
      <w:r>
        <w:rPr>
          <w:color w:val="2C5F5F"/>
        </w:rPr>
        <w:t xml:space="preserve">Programme and Key Dependencies</w:t>
      </w:r>
    </w:p>
    <w:p>
      <w:pPr>
        <w:spacing w:after="120"/>
      </w:pPr>
      <w:r>
        <w:rPr>
          <w:i/>
          <w:iCs/>
          <w:color w:val="888888"/>
        </w:rPr>
        <w:t xml:space="preserve">[Content not generated — check extraction and try again]</w:t>
      </w:r>
    </w:p>
    <w:p>
      <w:pPr>
        <w:spacing w:after="80"/>
      </w:pPr>
      <w:r>
        <w:t xml:space="preserve"/>
      </w:r>
    </w:p>
    <w:p>
      <w:pPr>
        <w:pStyle w:val="Heading1"/>
        <w:spacing w:after="120" w:before="360"/>
      </w:pPr>
      <w:r>
        <w:rPr>
          <w:color w:val="2C5F5F"/>
        </w:rPr>
        <w:t xml:space="preserve">Draft Proposal Wording</w:t>
      </w:r>
    </w:p>
    <w:p>
      <w:pPr>
        <w:spacing w:after="160"/>
      </w:pPr>
      <w:r>
        <w:rPr>
          <w:b/>
          <w:bCs/>
          <w:color w:val="B45309"/>
        </w:rPr>
        <w:t xml:space="preserve">The following is draft client-facing language. Review and edit before including in the formal proposal.</w:t>
      </w:r>
    </w:p>
    <w:p>
      <w:pPr>
        <w:spacing w:after="120"/>
      </w:pPr>
      <w:r>
        <w:rPr>
          <w:i/>
          <w:iCs/>
          <w:color w:val="888888"/>
        </w:rPr>
        <w:t xml:space="preserve">[Content not generated — check extraction and try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2026-07-01T07:54:54.733Z</dcterms:created>
  <dcterms:modified xsi:type="dcterms:W3CDTF">2026-07-01T07:54:54.733Z</dcterms:modified>
</cp:coreProperties>
</file>

<file path=docProps/custom.xml><?xml version="1.0" encoding="utf-8"?>
<Properties xmlns="http://schemas.openxmlformats.org/officeDocument/2006/custom-properties" xmlns:vt="http://schemas.openxmlformats.org/officeDocument/2006/docPropsVTypes"/>
</file>