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9" w:name="dissertation-prospectus"/>
    <w:p>
      <w:pPr>
        <w:pStyle w:val="Heading1"/>
      </w:pPr>
      <w:r>
        <w:t xml:space="preserve">Dissertation Prospectus</w:t>
      </w:r>
    </w:p>
    <w:bookmarkStart w:id="28" w:name="X9e663a24bc9da44007eb5cd3202b7961e51b16d"/>
    <w:p>
      <w:pPr>
        <w:pStyle w:val="Heading2"/>
      </w:pPr>
      <w:r>
        <w:t xml:space="preserve">“</w:t>
      </w:r>
      <w:r>
        <w:t xml:space="preserve">That town is a red zone</w:t>
      </w:r>
      <w:r>
        <w:t xml:space="preserve">”</w:t>
      </w:r>
      <w:r>
        <w:t xml:space="preserve">: Geographies of the Colombian Armed Conflict in 21</w:t>
      </w:r>
      <w:r>
        <w:rPr>
          <w:vertAlign w:val="superscript"/>
        </w:rPr>
        <w:t xml:space="preserve">st</w:t>
      </w:r>
      <w:r>
        <w:t xml:space="preserve">-Century Testimonial Narratives</w:t>
      </w:r>
    </w:p>
    <w:p>
      <w:pPr>
        <w:pStyle w:val="FirstParagraph"/>
      </w:pPr>
      <w:r>
        <w:t xml:space="preserve">I. Research Questions</w:t>
      </w:r>
    </w:p>
    <w:p>
      <w:pPr>
        <w:pStyle w:val="BodyText"/>
      </w:pPr>
      <w:r>
        <w:t xml:space="preserve">The term</w:t>
      </w:r>
      <w:r>
        <w:t xml:space="preserve"> </w:t>
      </w:r>
      <w:r>
        <w:t xml:space="preserve">“</w:t>
      </w:r>
      <w:r>
        <w:t xml:space="preserve">zonas rojas</w:t>
      </w:r>
      <w:r>
        <w:t xml:space="preserve">”</w:t>
      </w:r>
      <w:r>
        <w:t xml:space="preserve"> </w:t>
      </w:r>
      <w:r>
        <w:t xml:space="preserve">(red zones), which has pervaded State, media, and cultural discourses since the 1990s, refers to the places in which the Colombian armed conflict has been most prevalent. What is the historical and conceptual background that gives the term</w:t>
      </w:r>
      <w:r>
        <w:t xml:space="preserve"> </w:t>
      </w:r>
      <w:r>
        <w:t xml:space="preserve">“</w:t>
      </w:r>
      <w:r>
        <w:t xml:space="preserve">zona roja</w:t>
      </w:r>
      <w:r>
        <w:t xml:space="preserve">”</w:t>
      </w:r>
      <w:r>
        <w:t xml:space="preserve"> </w:t>
      </w:r>
      <w:r>
        <w:t xml:space="preserve">its current meaning in Colombian contemporary testimonial narratives? How do these narratives represent the relationship between such</w:t>
      </w:r>
      <w:r>
        <w:t xml:space="preserve"> </w:t>
      </w:r>
      <w:r>
        <w:t xml:space="preserve">“</w:t>
      </w:r>
      <w:r>
        <w:t xml:space="preserve">red</w:t>
      </w:r>
      <w:r>
        <w:t xml:space="preserve">”</w:t>
      </w:r>
      <w:r>
        <w:t xml:space="preserve"> </w:t>
      </w:r>
      <w:r>
        <w:t xml:space="preserve">spaces and their citizens? How will understanding the pervasiveness and development of the term</w:t>
      </w:r>
      <w:r>
        <w:t xml:space="preserve"> </w:t>
      </w:r>
      <w:r>
        <w:t xml:space="preserve">“</w:t>
      </w:r>
      <w:r>
        <w:t xml:space="preserve">zona roja</w:t>
      </w:r>
      <w:r>
        <w:t xml:space="preserve">”</w:t>
      </w:r>
      <w:r>
        <w:t xml:space="preserve"> </w:t>
      </w:r>
      <w:r>
        <w:t xml:space="preserve">contribute to the study of the testimonial genre within the Colombian context and beyond? In what ways do Colombian testimonial narratives remap, redefine and reformulate the area of Latin American Testimonial Studies?</w:t>
      </w:r>
    </w:p>
    <w:p>
      <w:pPr>
        <w:pStyle w:val="BodyText"/>
      </w:pPr>
      <w:r>
        <w:rPr>
          <w:bCs/>
          <w:b/>
        </w:rPr>
        <w:t xml:space="preserve">II. Premise</w:t>
      </w:r>
    </w:p>
    <w:p>
      <w:pPr>
        <w:pStyle w:val="BodyText"/>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20"/>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21"/>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22"/>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p>
      <w:pPr>
        <w:pStyle w:val="BodyText"/>
      </w:pPr>
      <w:r>
        <w:rPr>
          <w:bCs/>
          <w:b/>
        </w:rPr>
        <w:t xml:space="preserve">III. Scope</w:t>
      </w:r>
    </w:p>
    <w:p>
      <w:pPr>
        <w:pStyle w:val="BodyText"/>
      </w:pPr>
      <w:r>
        <w:rPr>
          <w:bCs/>
          <w:b/>
        </w:rPr>
        <w:t xml:space="preserve">A. Testimonial Scope</w:t>
      </w:r>
    </w:p>
    <w:p>
      <w:pPr>
        <w:pStyle w:val="BodyText"/>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pStyle w:val="BodyText"/>
      </w:pPr>
      <w:r>
        <w:t xml:space="preserve">1.</w:t>
      </w:r>
      <w:r>
        <w:t xml:space="preserve"> </w:t>
      </w:r>
      <w:r>
        <w:rPr>
          <w:u w:val="single"/>
        </w:rPr>
        <w:t xml:space="preserve">Testimonial fictions:</w:t>
      </w:r>
      <w:r>
        <w:t xml:space="preserve"> </w:t>
      </w:r>
      <w:r>
        <w:t xml:space="preserve">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pStyle w:val="BodyText"/>
      </w:pPr>
      <w:r>
        <w:t xml:space="preserve">2.</w:t>
      </w:r>
      <w:r>
        <w:t xml:space="preserve"> </w:t>
      </w:r>
      <w:r>
        <w:rPr>
          <w:u w:val="single"/>
        </w:rPr>
        <w:t xml:space="preserve">Testimonial novels:</w:t>
      </w:r>
      <w:r>
        <w:t xml:space="preserve"> </w:t>
      </w:r>
      <w:r>
        <w:t xml:space="preserve">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pStyle w:val="BodyText"/>
      </w:pPr>
      <w:r>
        <w:t xml:space="preserve">3.</w:t>
      </w:r>
      <w:r>
        <w:t xml:space="preserve"> </w:t>
      </w:r>
      <w:r>
        <w:rPr>
          <w:iCs/>
          <w:i/>
          <w:u w:val="single"/>
        </w:rPr>
        <w:t xml:space="preserve">Testimonios</w:t>
      </w:r>
      <w:r>
        <w:rPr>
          <w:u w:val="single"/>
        </w:rPr>
        <w:t xml:space="preserve">:</w:t>
      </w:r>
      <w:r>
        <w:t xml:space="preserve"> </w:t>
      </w:r>
      <w:r>
        <w:t xml:space="preserve">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pStyle w:val="BodyText"/>
      </w:pPr>
      <w:r>
        <w:t xml:space="preserve">4.</w:t>
      </w:r>
      <w:r>
        <w:t xml:space="preserve"> </w:t>
      </w:r>
      <w:r>
        <w:rPr>
          <w:u w:val="single"/>
        </w:rPr>
        <w:t xml:space="preserve">Autobiographic testimonies:</w:t>
      </w:r>
      <w:r>
        <w:t xml:space="preserve"> </w:t>
      </w:r>
      <w:r>
        <w:t xml:space="preserve">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pStyle w:val="BodyText"/>
      </w:pPr>
      <w:r>
        <w:t xml:space="preserve">5.</w:t>
      </w:r>
      <w:r>
        <w:t xml:space="preserve"> </w:t>
      </w:r>
      <w:r>
        <w:rPr>
          <w:u w:val="single"/>
        </w:rPr>
        <w:t xml:space="preserve">Journalistic chronicles</w:t>
      </w:r>
      <w:r>
        <w:t xml:space="preserve">: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p>
      <w:pPr>
        <w:pStyle w:val="BodyText"/>
      </w:pPr>
      <w:r>
        <w:rPr>
          <w:bCs/>
          <w:b/>
        </w:rPr>
        <w:t xml:space="preserve">B. Conceptual Scope</w:t>
      </w:r>
    </w:p>
    <w:p>
      <w:pPr>
        <w:pStyle w:val="BodyText"/>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23"/>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p>
      <w:pPr>
        <w:pStyle w:val="BodyText"/>
      </w:pPr>
      <w:r>
        <w:rPr>
          <w:bCs/>
          <w:b/>
        </w:rPr>
        <w:t xml:space="preserve">C. Historical Scope</w:t>
      </w:r>
    </w:p>
    <w:p>
      <w:pPr>
        <w:pStyle w:val="BodyText"/>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24"/>
      </w:r>
      <w:r>
        <w:t xml:space="preserve"> </w:t>
      </w:r>
      <w:r>
        <w:t xml:space="preserve">the Frente Nacional (1958-1974),</w:t>
      </w:r>
      <w:r>
        <w:rPr>
          <w:rStyle w:val="FootnoteReference"/>
        </w:rPr>
        <w:footnoteReference w:id="25"/>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26"/>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27"/>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p>
      <w:pPr>
        <w:pStyle w:val="BodyText"/>
      </w:pPr>
      <w:r>
        <w:rPr>
          <w:bCs/>
          <w:b/>
        </w:rPr>
        <w:t xml:space="preserve">IV. Rationale</w:t>
      </w:r>
    </w:p>
    <w:p>
      <w:pPr>
        <w:pStyle w:val="BodyText"/>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p>
      <w:pPr>
        <w:pStyle w:val="BodyText"/>
      </w:pPr>
      <w:r>
        <w:rPr>
          <w:bCs/>
          <w:b/>
        </w:rPr>
        <w:t xml:space="preserve">V. Structure</w:t>
      </w:r>
    </w:p>
    <w:p>
      <w:pPr>
        <w:pStyle w:val="BodyText"/>
      </w:pPr>
      <w:r>
        <w:rPr>
          <w:bCs/>
          <w:b/>
        </w:rPr>
        <w:t xml:space="preserve">A. Introduction</w:t>
      </w:r>
    </w:p>
    <w:p>
      <w:pPr>
        <w:pStyle w:val="BlockText"/>
      </w:pPr>
      <w:r>
        <w:t xml:space="preserve">1. Historical context. Definition of conflict zones.</w:t>
      </w:r>
    </w:p>
    <w:p>
      <w:pPr>
        <w:pStyle w:val="FirstParagraph"/>
      </w:pPr>
      <w:r>
        <w:t xml:space="preserve">2. 20</w:t>
      </w:r>
      <w:r>
        <w:rPr>
          <w:vertAlign w:val="superscript"/>
        </w:rPr>
        <w:t xml:space="preserve">th</w:t>
      </w:r>
      <w:r>
        <w:t xml:space="preserve"> </w:t>
      </w:r>
      <w:r>
        <w:t xml:space="preserve">and 21</w:t>
      </w:r>
      <w:r>
        <w:rPr>
          <w:vertAlign w:val="superscript"/>
        </w:rPr>
        <w:t xml:space="preserve">st</w:t>
      </w:r>
      <w:r>
        <w:t xml:space="preserve"> </w:t>
      </w:r>
      <w:r>
        <w:t xml:space="preserve">century testimonial narratives in Colombia.</w:t>
      </w:r>
    </w:p>
    <w:p>
      <w:pPr>
        <w:pStyle w:val="BodyText"/>
      </w:pPr>
      <w:r>
        <w:t xml:space="preserve">3. Space as a social and discursive production.</w:t>
      </w:r>
    </w:p>
    <w:p>
      <w:pPr>
        <w:pStyle w:val="BodyText"/>
      </w:pPr>
      <w:r>
        <w:rPr>
          <w:bCs/>
          <w:b/>
        </w:rPr>
        <w:t xml:space="preserve">B. 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pStyle w:val="BodyText"/>
      </w:pPr>
      <w:r>
        <w:t xml:space="preserve">1.</w:t>
      </w:r>
      <w:r>
        <w:t xml:space="preserve"> </w:t>
      </w: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pStyle w:val="BodyText"/>
      </w:pPr>
      <w:r>
        <w:t xml:space="preserve">2. The invention of a town in the middle of the war in</w:t>
      </w:r>
      <w:r>
        <w:t xml:space="preserve"> </w:t>
      </w:r>
      <w:r>
        <w:rPr>
          <w:iCs/>
          <w:i/>
        </w:rPr>
        <w:t xml:space="preserve">Los ejércitos</w:t>
      </w:r>
      <w:r>
        <w:t xml:space="preserve"> </w:t>
      </w:r>
      <w:r>
        <w:t xml:space="preserve">(2006) by Evelio Rosero</w:t>
      </w:r>
    </w:p>
    <w:p>
      <w:pPr>
        <w:pStyle w:val="BodyText"/>
      </w:pPr>
      <w:r>
        <w:t xml:space="preserve">3. The unnamed/un-namable spaces of</w:t>
      </w:r>
      <w:r>
        <w:t xml:space="preserve"> </w:t>
      </w:r>
      <w:r>
        <w:rPr>
          <w:iCs/>
          <w:i/>
        </w:rPr>
        <w:t xml:space="preserve">Los estratos</w:t>
      </w:r>
      <w:r>
        <w:t xml:space="preserve"> </w:t>
      </w:r>
      <w:r>
        <w:t xml:space="preserve">(2013) by Juan Cárdenas </w:t>
      </w:r>
    </w:p>
    <w:p>
      <w:pPr>
        <w:pStyle w:val="BodyText"/>
      </w:pPr>
      <w:r>
        <w:rPr>
          <w:bCs/>
          <w:b/>
        </w:rPr>
        <w:t xml:space="preserve">C. Chapter 2: Displacement: Witnesses of the No-place</w:t>
      </w:r>
    </w:p>
    <w:p>
      <w:pPr>
        <w:pStyle w:val="BodyText"/>
      </w:pPr>
      <w:r>
        <w:t xml:space="preserve">1. 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pStyle w:val="BodyText"/>
      </w:pPr>
      <w:r>
        <w:t xml:space="preserve">2. 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pStyle w:val="BodyText"/>
      </w:pPr>
      <w:r>
        <w:t xml:space="preserve">3. 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p>
      <w:pPr>
        <w:pStyle w:val="BodyText"/>
      </w:pPr>
      <w:r>
        <w:rPr>
          <w:bCs/>
          <w:b/>
        </w:rPr>
        <w:t xml:space="preserve">D. Chapter 3: Hyperlocation: Testimonial Territories</w:t>
      </w:r>
    </w:p>
    <w:p>
      <w:pPr>
        <w:pStyle w:val="BodyText"/>
      </w:pPr>
      <w:r>
        <w:t xml:space="preserve">1. 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pStyle w:val="BodyText"/>
      </w:pPr>
      <w:r>
        <w:t xml:space="preserve">2. Territory and historical memory: Reports from Centro Nacional de Memoria Histórica (National Center of Historical Memory)</w:t>
      </w:r>
    </w:p>
    <w:p>
      <w:pPr>
        <w:pStyle w:val="BodyText"/>
      </w:pPr>
      <w:r>
        <w:t xml:space="preserve">3. 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p>
      <w:pPr>
        <w:pStyle w:val="BodyText"/>
      </w:pPr>
      <w:r>
        <w:rPr>
          <w:bCs/>
          <w:b/>
        </w:rPr>
        <w:t xml:space="preserve">E. Conclusion</w:t>
      </w:r>
    </w:p>
    <w:p>
      <w:pPr>
        <w:pStyle w:val="BodyText"/>
      </w:pPr>
      <w:r>
        <w:rPr>
          <w:bCs/>
          <w:b/>
        </w:rPr>
        <w:t xml:space="preserve">VI. Bibliography</w:t>
      </w:r>
    </w:p>
    <w:p>
      <w:pPr>
        <w:pStyle w:val="BodyText"/>
      </w:pPr>
      <w:r>
        <w:rPr>
          <w:bCs/>
          <w:b/>
        </w:rPr>
        <w:t xml:space="preserve">A. Primary Sources</w:t>
      </w:r>
    </w:p>
    <w:p>
      <w:pPr>
        <w:pStyle w:val="BodyText"/>
      </w:pPr>
      <w:r>
        <w:t xml:space="preserve">Abad Faciolince, Hector.</w:t>
      </w:r>
      <w:r>
        <w:t xml:space="preserve"> </w:t>
      </w:r>
      <w:r>
        <w:rPr>
          <w:iCs/>
          <w:i/>
        </w:rPr>
        <w:t xml:space="preserve">Angosta</w:t>
      </w:r>
      <w:r>
        <w:t xml:space="preserve">. 2003. Planeta, 2007.</w:t>
      </w:r>
    </w:p>
    <w:p>
      <w:pPr>
        <w:pStyle w:val="BodyText"/>
      </w:pPr>
      <w:r>
        <w:t xml:space="preserve">Álvarez, Juan Miguel. Federico Ríos (photographs).</w:t>
      </w:r>
      <w:r>
        <w:t xml:space="preserve"> </w:t>
      </w:r>
      <w:r>
        <w:rPr>
          <w:iCs/>
          <w:i/>
        </w:rPr>
        <w:t xml:space="preserve">Cuadernos de los encuentros. Verde tierra calcinada</w:t>
      </w:r>
      <w:r>
        <w:t xml:space="preserve">. Rey Naranjo, 2019.</w:t>
      </w:r>
    </w:p>
    <w:p>
      <w:pPr>
        <w:pStyle w:val="BodyText"/>
      </w:pPr>
      <w:r>
        <w:t xml:space="preserve">Barbosa Fernando, et al, comp.</w:t>
      </w:r>
      <w:r>
        <w:t xml:space="preserve"> </w:t>
      </w:r>
      <w:r>
        <w:rPr>
          <w:iCs/>
          <w:i/>
        </w:rPr>
        <w:t xml:space="preserve">“</w:t>
      </w:r>
      <w:r>
        <w:rPr>
          <w:iCs/>
          <w:i/>
        </w:rPr>
        <w:t xml:space="preserve">Yo sobreviví.</w:t>
      </w:r>
      <w:r>
        <w:rPr>
          <w:iCs/>
          <w:i/>
        </w:rPr>
        <w:t xml:space="preserve">”</w:t>
      </w:r>
      <w:r>
        <w:rPr>
          <w:iCs/>
          <w:i/>
        </w:rPr>
        <w:t xml:space="preserve"> </w:t>
      </w:r>
      <w:r>
        <w:rPr>
          <w:iCs/>
          <w:i/>
        </w:rPr>
        <w:t xml:space="preserve">Memorias de guerra y resistencia en Colombia</w:t>
      </w:r>
      <w:r>
        <w:t xml:space="preserve">. U del Rosario E, 2018.</w:t>
      </w:r>
    </w:p>
    <w:p>
      <w:pPr>
        <w:pStyle w:val="BodyText"/>
      </w:pPr>
      <w:r>
        <w:t xml:space="preserve">Cárdenas, Juan.</w:t>
      </w:r>
      <w:r>
        <w:t xml:space="preserve"> </w:t>
      </w:r>
      <w:r>
        <w:rPr>
          <w:iCs/>
          <w:i/>
        </w:rPr>
        <w:t xml:space="preserve">Los estratos.</w:t>
      </w:r>
      <w:r>
        <w:t xml:space="preserve"> </w:t>
      </w:r>
      <w:r>
        <w:t xml:space="preserve">Periférica, 2013.</w:t>
      </w:r>
    </w:p>
    <w:p>
      <w:pPr>
        <w:pStyle w:val="BodyText"/>
      </w:pPr>
      <w:r>
        <w:t xml:space="preserve">Centro Nacional de Memoria Histórica.</w:t>
      </w:r>
      <w:r>
        <w:t xml:space="preserve"> </w:t>
      </w:r>
      <w:r>
        <w:rPr>
          <w:iCs/>
          <w:i/>
        </w:rPr>
        <w:t xml:space="preserve">El Placer: Mujeres coca y guerra en el Bajo Cauca.</w:t>
      </w:r>
      <w:r>
        <w:t xml:space="preserve"> </w:t>
      </w:r>
      <w:r>
        <w:t xml:space="preserve">Centro Nacional de Memoria Histórica, 2012.</w:t>
      </w:r>
    </w:p>
    <w:p>
      <w:pPr>
        <w:pStyle w:val="BodyText"/>
      </w:pPr>
      <w:r>
        <w:t xml:space="preserve">González Uribe, Guillermo.</w:t>
      </w:r>
      <w:r>
        <w:t xml:space="preserve"> </w:t>
      </w:r>
      <w:r>
        <w:rPr>
          <w:iCs/>
          <w:i/>
        </w:rPr>
        <w:t xml:space="preserve">Los niños de la guerra: Quince años después.</w:t>
      </w:r>
      <w:r>
        <w:t xml:space="preserve"> </w:t>
      </w:r>
      <w:r>
        <w:t xml:space="preserve">Aguilar, 2016.</w:t>
      </w:r>
    </w:p>
    <w:p>
      <w:pPr>
        <w:pStyle w:val="BodyText"/>
      </w:pPr>
      <w:r>
        <w:t xml:space="preserve">Grupo de Memoria Histórica.</w:t>
      </w:r>
      <w:r>
        <w:t xml:space="preserve"> </w:t>
      </w:r>
      <w:r>
        <w:rPr>
          <w:iCs/>
          <w:i/>
        </w:rPr>
        <w:t xml:space="preserve">La masacre de El Salado: esa guerra no era nuestra.</w:t>
      </w:r>
      <w:r>
        <w:t xml:space="preserve"> </w:t>
      </w:r>
      <w:r>
        <w:t xml:space="preserve">CNRR, 2009.</w:t>
      </w:r>
    </w:p>
    <w:p>
      <w:pPr>
        <w:pStyle w:val="BodyText"/>
      </w:pPr>
      <w:r>
        <w:t xml:space="preserve">Molano, Alfredo,</w:t>
      </w:r>
      <w:r>
        <w:t xml:space="preserve"> </w:t>
      </w:r>
      <w:r>
        <w:rPr>
          <w:iCs/>
          <w:i/>
        </w:rPr>
        <w:t xml:space="preserve">Trochas y fusiles</w:t>
      </w:r>
      <w:r>
        <w:t xml:space="preserve">. 1995. Debolsillo, 2017.</w:t>
      </w:r>
    </w:p>
    <w:p>
      <w:pPr>
        <w:pStyle w:val="BodyText"/>
      </w:pPr>
      <w:r>
        <w:t xml:space="preserve">---. </w:t>
      </w:r>
      <w:r>
        <w:rPr>
          <w:iCs/>
          <w:i/>
        </w:rPr>
        <w:t xml:space="preserve">Desterrados: Crónicas Del Desarraigo</w:t>
      </w:r>
      <w:r>
        <w:t xml:space="preserve">. El Ancora, 2001.</w:t>
      </w:r>
    </w:p>
    <w:p>
      <w:pPr>
        <w:pStyle w:val="BodyText"/>
      </w:pPr>
      <w:r>
        <w:t xml:space="preserve">Ospina Pizano, María. "Policarpa."</w:t>
      </w:r>
      <w:r>
        <w:t xml:space="preserve"> </w:t>
      </w:r>
      <w:r>
        <w:rPr>
          <w:iCs/>
          <w:i/>
        </w:rPr>
        <w:t xml:space="preserve">Azares del cuerpo.</w:t>
      </w:r>
      <w:r>
        <w:t xml:space="preserve"> </w:t>
      </w:r>
      <w:r>
        <w:t xml:space="preserve">Laguna, 2017, pp. 10-48.</w:t>
      </w:r>
    </w:p>
    <w:p>
      <w:pPr>
        <w:pStyle w:val="BodyText"/>
      </w:pPr>
      <w:r>
        <w:t xml:space="preserve">Potdevin, Philip.</w:t>
      </w:r>
      <w:r>
        <w:t xml:space="preserve"> </w:t>
      </w:r>
      <w:r>
        <w:rPr>
          <w:iCs/>
          <w:i/>
        </w:rPr>
        <w:t xml:space="preserve">La sembradora de cuerpos</w:t>
      </w:r>
      <w:r>
        <w:t xml:space="preserve">. Seix Barral, 2019.</w:t>
      </w:r>
    </w:p>
    <w:p>
      <w:pPr>
        <w:pStyle w:val="BodyText"/>
      </w:pPr>
      <w:r>
        <w:t xml:space="preserve">Rosero, Evelio</w:t>
      </w:r>
      <w:r>
        <w:rPr>
          <w:iCs/>
          <w:i/>
        </w:rPr>
        <w:t xml:space="preserve">. Los ejércitos</w:t>
      </w:r>
      <w:r>
        <w:t xml:space="preserve">. Tusquets, 2007.</w:t>
      </w:r>
    </w:p>
    <w:p>
      <w:pPr>
        <w:pStyle w:val="BodyText"/>
      </w:pPr>
      <w:r>
        <w:t xml:space="preserve">Sánchez, Mery Yolanda.</w:t>
      </w:r>
      <w:r>
        <w:t xml:space="preserve"> </w:t>
      </w:r>
      <w:r>
        <w:rPr>
          <w:iCs/>
          <w:i/>
        </w:rPr>
        <w:t xml:space="preserve">El atajo</w:t>
      </w:r>
      <w:r>
        <w:t xml:space="preserve">. Himpar, 2019.</w:t>
      </w:r>
    </w:p>
    <w:p>
      <w:pPr>
        <w:pStyle w:val="BodyText"/>
      </w:pPr>
      <w:r>
        <w:t xml:space="preserve">Silva Romero, Ricardo.</w:t>
      </w:r>
      <w:r>
        <w:t xml:space="preserve"> </w:t>
      </w:r>
      <w:r>
        <w:rPr>
          <w:iCs/>
          <w:i/>
        </w:rPr>
        <w:t xml:space="preserve">Río muerto</w:t>
      </w:r>
      <w:r>
        <w:t xml:space="preserve">. Alfaguara, 2020.</w:t>
      </w:r>
    </w:p>
    <w:p>
      <w:pPr>
        <w:pStyle w:val="BodyText"/>
      </w:pPr>
      <w:r>
        <w:t xml:space="preserve">B.</w:t>
      </w:r>
      <w:r>
        <w:t xml:space="preserve"> </w:t>
      </w:r>
      <w:r>
        <w:rPr>
          <w:bCs/>
          <w:b/>
        </w:rPr>
        <w:t xml:space="preserve">Secondary Sources</w:t>
      </w:r>
    </w:p>
    <w:p>
      <w:pPr>
        <w:pStyle w:val="BodyText"/>
      </w:pPr>
      <w:r>
        <w:t xml:space="preserve">Agamben, Giorgio. "The Witness."</w:t>
      </w:r>
      <w:r>
        <w:t xml:space="preserve"> </w:t>
      </w:r>
      <w:r>
        <w:rPr>
          <w:iCs/>
          <w:i/>
        </w:rPr>
        <w:t xml:space="preserve">Remnants of Auschwitz. The Witness and the Archive</w:t>
      </w:r>
      <w:r>
        <w:t xml:space="preserve">. Zone Books, 1999, pp. 15-39.</w:t>
      </w:r>
    </w:p>
    <w:p>
      <w:pPr>
        <w:pStyle w:val="BodyText"/>
      </w:pPr>
      <w:r>
        <w:t xml:space="preserve">Arjona, Ana.</w:t>
      </w:r>
      <w:r>
        <w:t xml:space="preserve"> </w:t>
      </w:r>
      <w:r>
        <w:t xml:space="preserve">“</w:t>
      </w:r>
      <w:r>
        <w:t xml:space="preserve">Introduction.</w:t>
      </w:r>
      <w:r>
        <w:t xml:space="preserve">”</w:t>
      </w:r>
      <w:r>
        <w:t xml:space="preserve"> </w:t>
      </w:r>
      <w:r>
        <w:t xml:space="preserve">Rebelocracy:</w:t>
      </w:r>
      <w:r>
        <w:t xml:space="preserve"> </w:t>
      </w:r>
      <w:r>
        <w:rPr>
          <w:iCs/>
          <w:i/>
        </w:rPr>
        <w:t xml:space="preserve">Social Order in the Colombian Civil War</w:t>
      </w:r>
      <w:r>
        <w:t xml:space="preserve">. Cambridge UP, 2017.</w:t>
      </w:r>
    </w:p>
    <w:p>
      <w:pPr>
        <w:pStyle w:val="BodyText"/>
      </w:pPr>
      <w:r>
        <w:t xml:space="preserve">Ballvé Teo.</w:t>
      </w:r>
      <w:r>
        <w:t xml:space="preserve"> </w:t>
      </w:r>
      <w:r>
        <w:rPr>
          <w:iCs/>
          <w:i/>
        </w:rPr>
        <w:t xml:space="preserve">The Frontier Effect State Formation and Violence in Colombia</w:t>
      </w:r>
      <w:r>
        <w:t xml:space="preserve">. Cornell UP, 2020.</w:t>
      </w:r>
    </w:p>
    <w:p>
      <w:pPr>
        <w:pStyle w:val="BodyText"/>
      </w:pPr>
      <w:r>
        <w:t xml:space="preserve">Bal, Mieke, et al. </w:t>
      </w:r>
      <w:r>
        <w:rPr>
          <w:iCs/>
          <w:i/>
        </w:rPr>
        <w:t xml:space="preserve">Acts of Memory: Cultural Recall in the Present</w:t>
      </w:r>
      <w:r>
        <w:t xml:space="preserve">. UP of New England, 1999.</w:t>
      </w:r>
    </w:p>
    <w:p>
      <w:pPr>
        <w:pStyle w:val="BodyText"/>
      </w:pPr>
      <w:r>
        <w:t xml:space="preserve">---.</w:t>
      </w:r>
      <w:r>
        <w:t xml:space="preserve"> </w:t>
      </w:r>
      <w:r>
        <w:t xml:space="preserve">“</w:t>
      </w:r>
      <w:r>
        <w:t xml:space="preserve">Introduction.</w:t>
      </w:r>
      <w:r>
        <w:t xml:space="preserve">”</w:t>
      </w:r>
      <w:r>
        <w:t xml:space="preserve"> </w:t>
      </w:r>
      <w:r>
        <w:t xml:space="preserve">Bal et al, pp. vii-xvii.</w:t>
      </w:r>
    </w:p>
    <w:p>
      <w:pPr>
        <w:pStyle w:val="BodyText"/>
      </w:pPr>
      <w:r>
        <w:t xml:space="preserve">Barnet, Miguel.</w:t>
      </w:r>
      <w:r>
        <w:t xml:space="preserve"> </w:t>
      </w:r>
      <w:r>
        <w:t xml:space="preserve">“</w:t>
      </w:r>
      <w:r>
        <w:t xml:space="preserve">La novela testimonio. Socio literatura.</w:t>
      </w:r>
      <w:r>
        <w:t xml:space="preserve">”</w:t>
      </w:r>
      <w:r>
        <w:t xml:space="preserve"> </w:t>
      </w:r>
      <w:r>
        <w:rPr>
          <w:iCs/>
          <w:i/>
        </w:rPr>
        <w:t xml:space="preserve">Testimonio y literatura</w:t>
      </w:r>
      <w:r>
        <w:t xml:space="preserve">. ed. René Jara and Hernán Vidal, Society for the Study of Contemporary Hispanic &amp; Lusophone Revolutionary Literatures, 1986, pp. 281-300.</w:t>
      </w:r>
    </w:p>
    <w:p>
      <w:pPr>
        <w:pStyle w:val="BodyText"/>
      </w:pPr>
      <w:r>
        <w:t xml:space="preserve">Beverley, John.</w:t>
      </w:r>
      <w:r>
        <w:t xml:space="preserve"> </w:t>
      </w:r>
      <w:r>
        <w:rPr>
          <w:iCs/>
          <w:i/>
        </w:rPr>
        <w:t xml:space="preserve">Testimonio: On the Politics of Truth</w:t>
      </w:r>
      <w:r>
        <w:t xml:space="preserve">. Minneapolis: U of Minnesota P, 2001.</w:t>
      </w:r>
    </w:p>
    <w:p>
      <w:pPr>
        <w:pStyle w:val="BodyText"/>
      </w:pPr>
      <w:r>
        <w:t xml:space="preserve">Brison, Susan.</w:t>
      </w:r>
      <w:r>
        <w:t xml:space="preserve"> </w:t>
      </w:r>
      <w:r>
        <w:t xml:space="preserve">“</w:t>
      </w:r>
      <w:r>
        <w:t xml:space="preserve">Trauma Narratives and the Remaking of the Self.</w:t>
      </w:r>
      <w:r>
        <w:t xml:space="preserve">”</w:t>
      </w:r>
      <w:r>
        <w:t xml:space="preserve"> </w:t>
      </w:r>
      <w:r>
        <w:t xml:space="preserve">Bal et al, pp. 39-54.</w:t>
      </w:r>
    </w:p>
    <w:p>
      <w:pPr>
        <w:pStyle w:val="BodyText"/>
      </w:pPr>
      <w:r>
        <w:t xml:space="preserve">Bushnell, David.</w:t>
      </w:r>
      <w:r>
        <w:t xml:space="preserve"> </w:t>
      </w:r>
      <w:r>
        <w:rPr>
          <w:iCs/>
          <w:i/>
        </w:rPr>
        <w:t xml:space="preserve">Colombia, una nación a pesar de sí misma: de los tiempos precolombinos a Nuestros Días</w:t>
      </w:r>
      <w:r>
        <w:t xml:space="preserve">. Planeta, 2007.</w:t>
      </w:r>
    </w:p>
    <w:p>
      <w:pPr>
        <w:pStyle w:val="BodyText"/>
      </w:pPr>
      <w:r>
        <w:t xml:space="preserve">Butler, Judith.</w:t>
      </w:r>
      <w:r>
        <w:t xml:space="preserve"> </w:t>
      </w:r>
      <w:r>
        <w:rPr>
          <w:iCs/>
          <w:i/>
        </w:rPr>
        <w:t xml:space="preserve">Frames of War: When Is Life Grievable?</w:t>
      </w:r>
      <w:r>
        <w:t xml:space="preserve"> </w:t>
      </w:r>
      <w:r>
        <w:t xml:space="preserve">Verso, 2010.</w:t>
      </w:r>
    </w:p>
    <w:p>
      <w:pPr>
        <w:pStyle w:val="BodyText"/>
      </w:pPr>
      <w:r>
        <w:t xml:space="preserve">Comisión Histórica del Conflicto y sus Víctimas.</w:t>
      </w:r>
      <w:r>
        <w:t xml:space="preserve"> </w:t>
      </w:r>
      <w:r>
        <w:rPr>
          <w:iCs/>
          <w:i/>
        </w:rPr>
        <w:t xml:space="preserve">Contribución al entendimiento del conflicto armado en Colombia</w:t>
      </w:r>
      <w:r>
        <w:t xml:space="preserve">. Desde Abajo, 2015.</w:t>
      </w:r>
    </w:p>
    <w:p>
      <w:pPr>
        <w:pStyle w:val="BodyText"/>
      </w:pPr>
      <w:r>
        <w:t xml:space="preserve">Felman, Shoshana and Dori Laub.</w:t>
      </w:r>
      <w:r>
        <w:t xml:space="preserve"> </w:t>
      </w:r>
      <w:r>
        <w:rPr>
          <w:iCs/>
          <w:i/>
        </w:rPr>
        <w:t xml:space="preserve">Testimony: Crises of Witnessing in Literature, Psychoanalysis, and History</w:t>
      </w:r>
      <w:r>
        <w:t xml:space="preserve">. Routledge, 1992.</w:t>
      </w:r>
    </w:p>
    <w:p>
      <w:pPr>
        <w:pStyle w:val="BodyText"/>
      </w:pPr>
      <w:r>
        <w:t xml:space="preserve">Felman, Shoshana.</w:t>
      </w:r>
      <w:r>
        <w:t xml:space="preserve"> </w:t>
      </w:r>
      <w:r>
        <w:t xml:space="preserve">“</w:t>
      </w:r>
      <w:r>
        <w:t xml:space="preserve">Camus's The Plague, or a Monument to Witnessing.</w:t>
      </w:r>
      <w:r>
        <w:t xml:space="preserve">”</w:t>
      </w:r>
      <w:r>
        <w:t xml:space="preserve"> </w:t>
      </w:r>
      <w:r>
        <w:t xml:space="preserve">Felman and Laub, pp. 93-119.</w:t>
      </w:r>
    </w:p>
    <w:p>
      <w:pPr>
        <w:pStyle w:val="BodyText"/>
      </w:pPr>
      <w:r>
        <w:t xml:space="preserve">González Echevarria, Roberto.</w:t>
      </w:r>
      <w:r>
        <w:t xml:space="preserve"> </w:t>
      </w:r>
      <w:r>
        <w:t xml:space="preserve">“</w:t>
      </w:r>
      <w:r>
        <w:t xml:space="preserve">Biografía de un cimarrón and the Novel of the Cuban Revolution.</w:t>
      </w:r>
      <w:r>
        <w:t xml:space="preserve">”</w:t>
      </w:r>
      <w:r>
        <w:t xml:space="preserve"> </w:t>
      </w:r>
      <w:r>
        <w:rPr>
          <w:iCs/>
          <w:i/>
        </w:rPr>
        <w:t xml:space="preserve">The Voice of the Masters. Writing and Authority in Modern Latin American Literature</w:t>
      </w:r>
      <w:r>
        <w:t xml:space="preserve">. U of Texas P, 1985, pp. 110-23.</w:t>
      </w:r>
    </w:p>
    <w:p>
      <w:pPr>
        <w:pStyle w:val="BodyText"/>
      </w:pPr>
      <w:r>
        <w:t xml:space="preserve">Gugelberger, Georg and Michael Kearney.</w:t>
      </w:r>
      <w:r>
        <w:t xml:space="preserve"> </w:t>
      </w:r>
      <w:r>
        <w:t xml:space="preserve">“</w:t>
      </w:r>
      <w:r>
        <w:t xml:space="preserve">Voices for the Voiceless: Testimonial Literature in Latin America.</w:t>
      </w:r>
      <w:r>
        <w:t xml:space="preserve">”</w:t>
      </w:r>
      <w:r>
        <w:t xml:space="preserve"> </w:t>
      </w:r>
      <w:r>
        <w:rPr>
          <w:iCs/>
          <w:i/>
        </w:rPr>
        <w:t xml:space="preserve">Latin American Perspectives</w:t>
      </w:r>
      <w:r>
        <w:t xml:space="preserve">, vol. 18, no. 3, 1991, pp. 3-14.</w:t>
      </w:r>
    </w:p>
    <w:p>
      <w:pPr>
        <w:pStyle w:val="BodyText"/>
      </w:pPr>
      <w:r>
        <w:t xml:space="preserve">Halbwachs, Maurice.</w:t>
      </w:r>
      <w:r>
        <w:t xml:space="preserve"> </w:t>
      </w:r>
      <w:r>
        <w:rPr>
          <w:iCs/>
          <w:i/>
        </w:rPr>
        <w:t xml:space="preserve">On Collective Memory</w:t>
      </w:r>
      <w:r>
        <w:t xml:space="preserve">. Lewis A. Coser, editor. The U of Chicago P, 1992, pp. 37-54.</w:t>
      </w:r>
    </w:p>
    <w:p>
      <w:pPr>
        <w:pStyle w:val="BodyText"/>
      </w:pPr>
      <w:r>
        <w:t xml:space="preserve">Hylton, Forrest.</w:t>
      </w:r>
      <w:r>
        <w:t xml:space="preserve"> </w:t>
      </w:r>
      <w:r>
        <w:rPr>
          <w:iCs/>
          <w:i/>
        </w:rPr>
        <w:t xml:space="preserve">Evil Hour in Colombia</w:t>
      </w:r>
      <w:r>
        <w:t xml:space="preserve">. Verso, 2006.</w:t>
      </w:r>
    </w:p>
    <w:p>
      <w:pPr>
        <w:pStyle w:val="BodyText"/>
      </w:pPr>
      <w:r>
        <w:t xml:space="preserve">Laub, Dori.</w:t>
      </w:r>
      <w:r>
        <w:t xml:space="preserve"> </w:t>
      </w:r>
      <w:r>
        <w:t xml:space="preserve">“</w:t>
      </w:r>
      <w:r>
        <w:t xml:space="preserve">An Event Without Withess: Truth, Testimony and Survival.</w:t>
      </w:r>
      <w:r>
        <w:t xml:space="preserve">”</w:t>
      </w:r>
      <w:r>
        <w:t xml:space="preserve"> </w:t>
      </w:r>
      <w:r>
        <w:t xml:space="preserve">Felman and Laub, pp. 75-92.</w:t>
      </w:r>
    </w:p>
    <w:p>
      <w:pPr>
        <w:pStyle w:val="BodyText"/>
      </w:pPr>
      <w:r>
        <w:t xml:space="preserve">Leal, Claudia.</w:t>
      </w:r>
      <w:r>
        <w:t xml:space="preserve"> </w:t>
      </w:r>
      <w:r>
        <w:rPr>
          <w:iCs/>
          <w:i/>
        </w:rPr>
        <w:t xml:space="preserve">Landscapes of Freedom: Building a Postemancipation Society in the Rainforests of Western Colombia</w:t>
      </w:r>
      <w:r>
        <w:t xml:space="preserve">. U of Arizona P, 2018.</w:t>
      </w:r>
    </w:p>
    <w:p>
      <w:pPr>
        <w:pStyle w:val="BodyText"/>
      </w:pPr>
      <w:r>
        <w:t xml:space="preserve">Lindstorm, Naomi.</w:t>
      </w:r>
      <w:r>
        <w:t xml:space="preserve"> </w:t>
      </w:r>
      <w:r>
        <w:t xml:space="preserve">“</w:t>
      </w:r>
      <w:r>
        <w:t xml:space="preserve">Testimonial Narrative: Whose Text?</w:t>
      </w:r>
      <w:r>
        <w:t xml:space="preserve">”</w:t>
      </w:r>
      <w:r>
        <w:t xml:space="preserve"> </w:t>
      </w:r>
      <w:r>
        <w:rPr>
          <w:iCs/>
          <w:i/>
        </w:rPr>
        <w:t xml:space="preserve">The Social Conscience of Latin American Writing</w:t>
      </w:r>
      <w:r>
        <w:t xml:space="preserve">. U of Texas P, 1998, pp. 70-91.</w:t>
      </w:r>
    </w:p>
    <w:p>
      <w:pPr>
        <w:pStyle w:val="BodyText"/>
      </w:pPr>
      <w:r>
        <w:t xml:space="preserve">Lefebvre, Henri,</w:t>
      </w:r>
      <w:r>
        <w:t xml:space="preserve"> </w:t>
      </w:r>
      <w:r>
        <w:rPr>
          <w:iCs/>
          <w:i/>
        </w:rPr>
        <w:t xml:space="preserve">The Production of Space</w:t>
      </w:r>
      <w:r>
        <w:t xml:space="preserve">. 1974. Blackwell, 2005.</w:t>
      </w:r>
    </w:p>
    <w:p>
      <w:pPr>
        <w:pStyle w:val="BodyText"/>
      </w:pPr>
      <w:r>
        <w:t xml:space="preserve">Macías Tovar, Ernesto.</w:t>
      </w:r>
      <w:r>
        <w:t xml:space="preserve"> </w:t>
      </w:r>
      <w:r>
        <w:t xml:space="preserve">“</w:t>
      </w:r>
      <w:r>
        <w:t xml:space="preserve">LEY 1941 DE 2017.</w:t>
      </w:r>
      <w:r>
        <w:t xml:space="preserve">”</w:t>
      </w:r>
      <w:r>
        <w:t xml:space="preserve"> </w:t>
      </w:r>
      <w:r>
        <w:rPr>
          <w:iCs/>
          <w:i/>
        </w:rPr>
        <w:t xml:space="preserve">Diario Oficial</w:t>
      </w:r>
      <w:r>
        <w:t xml:space="preserve">, no. 50811, 18 Dec. 2018.</w:t>
      </w:r>
    </w:p>
    <w:p>
      <w:pPr>
        <w:pStyle w:val="BodyText"/>
      </w:pPr>
      <w:r>
        <w:t xml:space="preserve">Oslender, Ulrich.</w:t>
      </w:r>
      <w:r>
        <w:t xml:space="preserve"> </w:t>
      </w:r>
      <w:r>
        <w:rPr>
          <w:iCs/>
          <w:i/>
        </w:rPr>
        <w:t xml:space="preserve">The Geographies of Social Movements: Afro-Colombian Mobilization and the Aquatic Space.</w:t>
      </w:r>
      <w:r>
        <w:t xml:space="preserve"> </w:t>
      </w:r>
      <w:r>
        <w:t xml:space="preserve">Duke UP, 2016.</w:t>
      </w:r>
    </w:p>
    <w:p>
      <w:pPr>
        <w:pStyle w:val="BodyText"/>
      </w:pPr>
      <w:r>
        <w:t xml:space="preserve">Ospina Pizano, María.</w:t>
      </w:r>
      <w:r>
        <w:t xml:space="preserve"> </w:t>
      </w:r>
      <w:r>
        <w:rPr>
          <w:iCs/>
          <w:i/>
        </w:rPr>
        <w:t xml:space="preserve">El rompecabezas de la memoria. Literatura, cine y testimonio de comienzos de siglo en Colombia</w:t>
      </w:r>
      <w:r>
        <w:t xml:space="preserve">. Iberoamericana/Vervuert, 2019.</w:t>
      </w:r>
    </w:p>
    <w:p>
      <w:pPr>
        <w:pStyle w:val="BodyText"/>
      </w:pPr>
      <w:r>
        <w:t xml:space="preserve">Pécaut, Daniel.</w:t>
      </w:r>
      <w:r>
        <w:t xml:space="preserve"> </w:t>
      </w:r>
      <w:r>
        <w:t xml:space="preserve">“</w:t>
      </w:r>
      <w:r>
        <w:t xml:space="preserve">Configurations of Space, Time, and Subjectivity in a Context of Terror: The Colombian Example.</w:t>
      </w:r>
      <w:r>
        <w:t xml:space="preserve">”</w:t>
      </w:r>
      <w:r>
        <w:t xml:space="preserve"> </w:t>
      </w:r>
      <w:r>
        <w:rPr>
          <w:iCs/>
          <w:i/>
        </w:rPr>
        <w:t xml:space="preserve">International Journal of Politics, Culture, and Society</w:t>
      </w:r>
      <w:r>
        <w:t xml:space="preserve">, vol. 14, no. 1, 2000, pp. 129-50.</w:t>
      </w:r>
    </w:p>
    <w:p>
      <w:pPr>
        <w:pStyle w:val="BodyText"/>
      </w:pPr>
      <w:r>
        <w:t xml:space="preserve">Ramírez, María Clemencia.</w:t>
      </w:r>
      <w:r>
        <w:t xml:space="preserve"> </w:t>
      </w:r>
      <w:r>
        <w:rPr>
          <w:iCs/>
          <w:i/>
        </w:rPr>
        <w:t xml:space="preserve">Entre el Estado y la guerrilla: Identidad y ciudadanía en el movimiento de los campesinos cocaleros del Putumayo</w:t>
      </w:r>
      <w:r>
        <w:t xml:space="preserve">. ICANH-Colciencias, 2001. </w:t>
      </w:r>
    </w:p>
    <w:p>
      <w:pPr>
        <w:pStyle w:val="BodyText"/>
      </w:pPr>
      <w:r>
        <w:t xml:space="preserve">Rueda, María Helena.</w:t>
      </w:r>
      <w:r>
        <w:t xml:space="preserve"> </w:t>
      </w:r>
      <w:r>
        <w:t xml:space="preserve">“</w:t>
      </w:r>
      <w:r>
        <w:t xml:space="preserve">Nombrar la violencia desde el anonimato: relatos testimoniales en contextos de miedo.</w:t>
      </w:r>
      <w:r>
        <w:t xml:space="preserve">”</w:t>
      </w:r>
      <w:r>
        <w:t xml:space="preserve"> </w:t>
      </w:r>
      <w:r>
        <w:rPr>
          <w:iCs/>
          <w:i/>
        </w:rPr>
        <w:t xml:space="preserve">Revista Canadiense de Estudios Hispánicos</w:t>
      </w:r>
      <w:r>
        <w:t xml:space="preserve">, vol. 34, no. 1, 2009, pp. 227-41.</w:t>
      </w:r>
    </w:p>
    <w:p>
      <w:pPr>
        <w:pStyle w:val="BodyText"/>
      </w:pPr>
      <w:r>
        <w:t xml:space="preserve">Samper Pizano, Ernesto.</w:t>
      </w:r>
      <w:r>
        <w:t xml:space="preserve"> </w:t>
      </w:r>
      <w:r>
        <w:t xml:space="preserve">“</w:t>
      </w:r>
      <w:r>
        <w:t xml:space="preserve">DECRETO 0717 DE 1996.</w:t>
      </w:r>
      <w:r>
        <w:t xml:space="preserve">”</w:t>
      </w:r>
      <w:r>
        <w:t xml:space="preserve"> </w:t>
      </w:r>
      <w:r>
        <w:rPr>
          <w:iCs/>
          <w:i/>
        </w:rPr>
        <w:t xml:space="preserve">Diario Oficial</w:t>
      </w:r>
      <w:r>
        <w:t xml:space="preserve">, no. 42769, 19 Apr. 1996.</w:t>
      </w:r>
    </w:p>
    <w:p>
      <w:pPr>
        <w:pStyle w:val="BodyText"/>
      </w:pPr>
      <w:r>
        <w:t xml:space="preserve">Sarlo, Beatriz.</w:t>
      </w:r>
      <w:r>
        <w:t xml:space="preserve"> </w:t>
      </w:r>
      <w:r>
        <w:t xml:space="preserve">“</w:t>
      </w:r>
      <w:r>
        <w:t xml:space="preserve">Crítica del testimonio: sujeto y experiencia</w:t>
      </w:r>
      <w:r>
        <w:t xml:space="preserve">”</w:t>
      </w:r>
      <w:r>
        <w:t xml:space="preserve"> </w:t>
      </w:r>
      <w:r>
        <w:t xml:space="preserve">y</w:t>
      </w:r>
      <w:r>
        <w:t xml:space="preserve"> </w:t>
      </w:r>
      <w:r>
        <w:t xml:space="preserve">“</w:t>
      </w:r>
      <w:r>
        <w:t xml:space="preserve">La retórica testimonial.</w:t>
      </w:r>
      <w:r>
        <w:t xml:space="preserve">”</w:t>
      </w:r>
      <w:r>
        <w:t xml:space="preserve"> </w:t>
      </w:r>
      <w:r>
        <w:rPr>
          <w:iCs/>
          <w:i/>
        </w:rPr>
        <w:t xml:space="preserve">Tiempo pasado: cultura de la memoria y giro subjetivo: una discusión</w:t>
      </w:r>
      <w:r>
        <w:t xml:space="preserve">. Siglo XXI, 2005, pp. 27-94.</w:t>
      </w:r>
    </w:p>
    <w:p>
      <w:pPr>
        <w:pStyle w:val="BodyText"/>
      </w:pPr>
      <w:r>
        <w:t xml:space="preserve">Serje, Margarita.</w:t>
      </w:r>
      <w:r>
        <w:t xml:space="preserve"> </w:t>
      </w:r>
      <w:r>
        <w:rPr>
          <w:iCs/>
          <w:i/>
        </w:rPr>
        <w:t xml:space="preserve">El revés de la nación.</w:t>
      </w:r>
      <w:r>
        <w:t xml:space="preserve"> </w:t>
      </w:r>
      <w:r>
        <w:t xml:space="preserve">U de los Andes, 2011.</w:t>
      </w:r>
    </w:p>
    <w:p>
      <w:pPr>
        <w:pStyle w:val="BodyText"/>
      </w:pPr>
      <w:r>
        <w:t xml:space="preserve">Sklodowska, Elzibeta. "Hacia una tipología del testimonio hispanoamericano." Siglo XX/ 20th Century, vol. 8, no. 1-2, 1990-1991, pp. 103-17.</w:t>
      </w:r>
    </w:p>
    <w:p>
      <w:pPr>
        <w:pStyle w:val="BodyText"/>
      </w:pPr>
      <w:r>
        <w:t xml:space="preserve">---.</w:t>
      </w:r>
      <w:r>
        <w:t xml:space="preserve"> </w:t>
      </w:r>
      <w:r>
        <w:t xml:space="preserve">“</w:t>
      </w:r>
      <w:r>
        <w:t xml:space="preserve">Testimonio mediatizado: ¿Ventriloquia o heteroglosia? (Barnet/Montejo) (Burgos/Menchú).</w:t>
      </w:r>
      <w:r>
        <w:t xml:space="preserve">”</w:t>
      </w:r>
      <w:r>
        <w:t xml:space="preserve"> </w:t>
      </w:r>
      <w:r>
        <w:rPr>
          <w:iCs/>
          <w:i/>
        </w:rPr>
        <w:t xml:space="preserve">Revista de crítica literaria latinoamericana</w:t>
      </w:r>
      <w:r>
        <w:t xml:space="preserve">, vol. 38, 1993, pp. 81-90.</w:t>
      </w:r>
    </w:p>
    <w:p>
      <w:pPr>
        <w:pStyle w:val="BodyText"/>
      </w:pPr>
      <w:r>
        <w:t xml:space="preserve">Suárez Gómez, Jorge Eduardo.</w:t>
      </w:r>
      <w:r>
        <w:t xml:space="preserve"> </w:t>
      </w:r>
      <w:r>
        <w:rPr>
          <w:iCs/>
          <w:i/>
        </w:rPr>
        <w:t xml:space="preserve">La literatura testimonial como memoria de las guerras en Colombia.</w:t>
      </w:r>
      <w:r>
        <w:t xml:space="preserve"> </w:t>
      </w:r>
      <w:r>
        <w:t xml:space="preserve">U de Antioquia Fondo Editorial, 2016.</w:t>
      </w:r>
    </w:p>
    <w:p>
      <w:pPr>
        <w:pStyle w:val="BodyText"/>
      </w:pPr>
      <w:r>
        <w:t xml:space="preserve">Van Alphen, Ernst.</w:t>
      </w:r>
      <w:r>
        <w:t xml:space="preserve"> </w:t>
      </w:r>
      <w:r>
        <w:t xml:space="preserve">“</w:t>
      </w:r>
      <w:r>
        <w:t xml:space="preserve">Symptoms of Discursivity: Experience, Memory, and Trauma</w:t>
      </w:r>
      <w:r>
        <w:t xml:space="preserve">”</w:t>
      </w:r>
      <w:r>
        <w:t xml:space="preserve"> </w:t>
      </w:r>
      <w:r>
        <w:t xml:space="preserve">Bal, et al, pp. 24-38.</w:t>
      </w:r>
    </w:p>
    <w:p>
      <w:pPr>
        <w:pStyle w:val="BodyText"/>
      </w:pPr>
      <w:r>
        <w:t xml:space="preserve">Vera León, Antonio.</w:t>
      </w:r>
      <w:r>
        <w:t xml:space="preserve"> </w:t>
      </w:r>
      <w:r>
        <w:t xml:space="preserve">“</w:t>
      </w:r>
      <w:r>
        <w:t xml:space="preserve">Hacer hablar: La transcripción testimonial.</w:t>
      </w:r>
      <w:r>
        <w:t xml:space="preserve">”</w:t>
      </w:r>
      <w:r>
        <w:t xml:space="preserve"> </w:t>
      </w:r>
      <w:r>
        <w:t xml:space="preserve">Revista de crítica literaria latinoamericana, vol. 18, no. 35, 1992, pp. 185-203.</w:t>
      </w:r>
    </w:p>
    <w:p>
      <w:pPr>
        <w:pStyle w:val="BodyText"/>
      </w:pPr>
      <w:r>
        <w:t xml:space="preserve">Young, James Edward.</w:t>
      </w:r>
      <w:r>
        <w:t xml:space="preserve"> </w:t>
      </w:r>
      <w:r>
        <w:t xml:space="preserve">“</w:t>
      </w:r>
      <w:r>
        <w:t xml:space="preserve">Introduction: The Texture of Memory.</w:t>
      </w:r>
      <w:r>
        <w:t xml:space="preserve">”</w:t>
      </w:r>
      <w:r>
        <w:t xml:space="preserve"> </w:t>
      </w:r>
      <w:r>
        <w:rPr>
          <w:iCs/>
          <w:i/>
        </w:rPr>
        <w:t xml:space="preserve">The Texture of Memory: Holocaust Memorials and Meaning</w:t>
      </w:r>
      <w:r>
        <w:t xml:space="preserve">. Yale UP, 1993, pp. 1-16.</w:t>
      </w:r>
    </w:p>
    <w:bookmarkEnd w:id="28"/>
    <w:bookmarkEnd w:id="29"/>
    <w:bookmarkStart w:id="33" w:name="i.-premise"/>
    <w:p>
      <w:pPr>
        <w:pStyle w:val="Heading1"/>
      </w:pPr>
      <w:r>
        <w:t xml:space="preserve">I. Premise</w:t>
      </w:r>
    </w:p>
    <w:p>
      <w:pPr>
        <w:pStyle w:val="FirstParagraph"/>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30"/>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31"/>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32"/>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bookmarkEnd w:id="33"/>
    <w:bookmarkStart w:id="34" w:name="iii.-rationale"/>
    <w:p>
      <w:pPr>
        <w:pStyle w:val="Heading1"/>
      </w:pPr>
      <w:r>
        <w:t xml:space="preserve">III. Rationale</w:t>
      </w:r>
    </w:p>
    <w:p>
      <w:pPr>
        <w:pStyle w:val="FirstParagraph"/>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bookmarkEnd w:id="34"/>
    <w:bookmarkStart w:id="44"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5">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1"/>
        </w:numPr>
        <w:pStyle w:val="Compact"/>
      </w:pPr>
      <w:r>
        <w:t xml:space="preserve">item</w:t>
      </w:r>
    </w:p>
    <w:p>
      <w:pPr>
        <w:numPr>
          <w:ilvl w:val="0"/>
          <w:numId w:val="1001"/>
        </w:numPr>
        <w:pStyle w:val="Compact"/>
      </w:pPr>
      <w:r>
        <w:t xml:space="preserve">item</w:t>
      </w:r>
    </w:p>
    <w:p>
      <w:pPr>
        <w:numPr>
          <w:ilvl w:val="0"/>
          <w:numId w:val="1001"/>
        </w:numPr>
        <w:pStyle w:val="Compact"/>
      </w:pPr>
      <w:r>
        <w:t xml:space="preserve">item</w:t>
      </w:r>
    </w:p>
    <w:p>
      <w:r>
        <w:pict>
          <v:rect style="width:0;height:1.5pt" o:hralign="center" o:hrstd="t" o:hr="t"/>
        </w:pict>
      </w:r>
    </w:p>
    <w:bookmarkStart w:id="4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6">
        <w:r>
          <w:rPr>
            <w:rStyle w:val="Hyperlink"/>
          </w:rPr>
          <w:t xml:space="preserve">link</w:t>
        </w:r>
      </w:hyperlink>
      <w:r>
        <w:t xml:space="preserve"> </w:t>
      </w:r>
      <w:r>
        <w:t xml:space="preserve">red curry tofu noodles</w:t>
      </w:r>
      <w:r>
        <w:t xml:space="preserve"> </w:t>
      </w:r>
      <w:hyperlink r:id="rId36">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9"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6">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8"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bookmarkEnd w:id="38"/>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9"/>
    <w:bookmarkEnd w:id="40"/>
    <w:bookmarkStart w:id="43"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2"/>
        </w:numPr>
        <w:pStyle w:val="Compact"/>
      </w:pPr>
      <w:r>
        <w:t xml:space="preserve">cool Thai super</w:t>
      </w:r>
    </w:p>
    <w:p>
      <w:pPr>
        <w:numPr>
          <w:ilvl w:val="0"/>
          <w:numId w:val="1002"/>
        </w:numPr>
        <w:pStyle w:val="Compact"/>
      </w:pPr>
      <w:r>
        <w:t xml:space="preserve">chili maple orange</w:t>
      </w:r>
    </w:p>
    <w:p>
      <w:pPr>
        <w:numPr>
          <w:ilvl w:val="0"/>
          <w:numId w:val="1002"/>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2"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41">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3"/>
        </w:numPr>
        <w:pStyle w:val="Compact"/>
      </w:pPr>
      <w:r>
        <w:t xml:space="preserve">Check</w:t>
      </w:r>
      <w:r>
        <w:t xml:space="preserve"> </w:t>
      </w:r>
      <w:r>
        <w:t xml:space="preserve">(</w:t>
      </w:r>
      <w:r>
        <w:rPr>
          <w:bCs/>
          <w:b/>
        </w:rPr>
        <w:t xml:space="preserve">fig:graph?</w:t>
      </w:r>
      <w:r>
        <w:t xml:space="preserve">)</w:t>
      </w:r>
      <w:r>
        <w:t xml:space="preserve">.</w:t>
      </w:r>
    </w:p>
    <w:p>
      <w:pPr>
        <w:numPr>
          <w:ilvl w:val="0"/>
          <w:numId w:val="1003"/>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3"/>
        </w:numPr>
        <w:pStyle w:val="Compact"/>
      </w:pPr>
      <w:r>
        <w:t xml:space="preserve">Check</w:t>
      </w:r>
      <w:r>
        <w:t xml:space="preserve"> </w:t>
      </w:r>
      <w:r>
        <w:t xml:space="preserve">(</w:t>
      </w:r>
      <w:r>
        <w:rPr>
          <w:bCs/>
          <w:b/>
        </w:rPr>
        <w:t xml:space="preserve">eq:equation?</w:t>
      </w:r>
      <w:r>
        <w:t xml:space="preserve">)</w:t>
      </w:r>
      <w:r>
        <w:t xml:space="preserve">.</w:t>
      </w:r>
    </w:p>
    <w:bookmarkEnd w:id="42"/>
    <w:bookmarkEnd w:id="43"/>
    <w:bookmarkEnd w:id="44"/>
    <w:bookmarkStart w:id="53" w:name="ii.-scope"/>
    <w:p>
      <w:pPr>
        <w:pStyle w:val="Heading1"/>
      </w:pPr>
      <w:r>
        <w:t xml:space="preserve">II. Scope</w:t>
      </w:r>
    </w:p>
    <w:bookmarkStart w:id="45" w:name="a.-testimonial-scope"/>
    <w:p>
      <w:pPr>
        <w:pStyle w:val="Heading2"/>
      </w:pPr>
      <w:r>
        <w:t xml:space="preserve">A. Testimonial Scope</w:t>
      </w:r>
    </w:p>
    <w:p>
      <w:pPr>
        <w:pStyle w:val="FirstParagraph"/>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pStyle w:val="BodyText"/>
      </w:pPr>
      <w:r>
        <w:t xml:space="preserve">1. Testimonial fictions: 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pStyle w:val="BodyText"/>
      </w:pPr>
      <w:r>
        <w:t xml:space="preserve">2. Testimonial novels: 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pStyle w:val="BodyText"/>
      </w:pPr>
      <w:r>
        <w:t xml:space="preserve">3. Testimonios: 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pStyle w:val="BodyText"/>
      </w:pPr>
      <w:r>
        <w:t xml:space="preserve">4. Autobiographic testimonies: 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pStyle w:val="BodyText"/>
      </w:pPr>
      <w:r>
        <w:t xml:space="preserve">5. Journalistic chronicles: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bookmarkEnd w:id="45"/>
    <w:bookmarkStart w:id="47" w:name="b.-conceptual-scope"/>
    <w:p>
      <w:pPr>
        <w:pStyle w:val="Heading2"/>
      </w:pPr>
      <w:r>
        <w:t xml:space="preserve">B. Conceptual Scope</w:t>
      </w:r>
    </w:p>
    <w:p>
      <w:pPr>
        <w:pStyle w:val="FirstParagraph"/>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46"/>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bookmarkEnd w:id="47"/>
    <w:bookmarkStart w:id="52" w:name="c.-historical-scope"/>
    <w:p>
      <w:pPr>
        <w:pStyle w:val="Heading2"/>
      </w:pPr>
      <w:r>
        <w:t xml:space="preserve">C. Historical Scope</w:t>
      </w:r>
    </w:p>
    <w:p>
      <w:pPr>
        <w:pStyle w:val="FirstParagraph"/>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48"/>
      </w:r>
      <w:r>
        <w:t xml:space="preserve"> </w:t>
      </w:r>
      <w:r>
        <w:t xml:space="preserve">the Frente Nacional (1958-1974),</w:t>
      </w:r>
      <w:r>
        <w:rPr>
          <w:rStyle w:val="FootnoteReference"/>
        </w:rPr>
        <w:footnoteReference w:id="49"/>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50"/>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51"/>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bookmarkEnd w:id="52"/>
    <w:bookmarkEnd w:id="53"/>
    <w:bookmarkStart w:id="54" w:name="iv.-structure"/>
    <w:p>
      <w:pPr>
        <w:pStyle w:val="Heading1"/>
      </w:pPr>
      <w:r>
        <w:t xml:space="preserve">IV. Structure</w:t>
      </w:r>
    </w:p>
    <w:p>
      <w:pPr>
        <w:pStyle w:val="FirstParagraph"/>
      </w:pPr>
      <w:r>
        <w:rPr>
          <w:bCs/>
          <w:b/>
        </w:rPr>
        <w:t xml:space="preserve">A. Introduction</w:t>
      </w:r>
    </w:p>
    <w:p>
      <w:pPr>
        <w:pStyle w:val="BlockText"/>
      </w:pPr>
      <w:r>
        <w:t xml:space="preserve">1. Historical context. Definition of conflict zones.</w:t>
      </w:r>
    </w:p>
    <w:p>
      <w:pPr>
        <w:pStyle w:val="FirstParagraph"/>
      </w:pPr>
      <w:r>
        <w:t xml:space="preserve">2. 20</w:t>
      </w:r>
      <w:r>
        <w:rPr>
          <w:vertAlign w:val="superscript"/>
        </w:rPr>
        <w:t xml:space="preserve">th</w:t>
      </w:r>
      <w:r>
        <w:t xml:space="preserve"> </w:t>
      </w:r>
      <w:r>
        <w:t xml:space="preserve">and 21</w:t>
      </w:r>
      <w:r>
        <w:rPr>
          <w:vertAlign w:val="superscript"/>
        </w:rPr>
        <w:t xml:space="preserve">st</w:t>
      </w:r>
      <w:r>
        <w:t xml:space="preserve"> </w:t>
      </w:r>
      <w:r>
        <w:t xml:space="preserve">century testimonial narratives in Colombia.</w:t>
      </w:r>
    </w:p>
    <w:p>
      <w:pPr>
        <w:pStyle w:val="BodyText"/>
      </w:pPr>
      <w:r>
        <w:t xml:space="preserve">3. Space as a social and discursive production.</w:t>
      </w:r>
    </w:p>
    <w:p>
      <w:pPr>
        <w:pStyle w:val="BodyText"/>
      </w:pPr>
      <w:r>
        <w:rPr>
          <w:bCs/>
          <w:b/>
        </w:rPr>
        <w:t xml:space="preserve">B. 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pStyle w:val="BodyText"/>
      </w:pPr>
      <w:r>
        <w:t xml:space="preserve">1.</w:t>
      </w:r>
      <w:r>
        <w:t xml:space="preserve"> </w:t>
      </w: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pStyle w:val="BodyText"/>
      </w:pPr>
      <w:r>
        <w:t xml:space="preserve">2. The invention of a town in the middle of the war in</w:t>
      </w:r>
      <w:r>
        <w:t xml:space="preserve"> </w:t>
      </w:r>
      <w:r>
        <w:rPr>
          <w:iCs/>
          <w:i/>
        </w:rPr>
        <w:t xml:space="preserve">Los ejércitos</w:t>
      </w:r>
      <w:r>
        <w:t xml:space="preserve"> </w:t>
      </w:r>
      <w:r>
        <w:t xml:space="preserve">(2006) by Evelio Rosero</w:t>
      </w:r>
    </w:p>
    <w:p>
      <w:pPr>
        <w:pStyle w:val="BodyText"/>
      </w:pPr>
      <w:r>
        <w:t xml:space="preserve">3. The unnamed/un-namable spaces of</w:t>
      </w:r>
      <w:r>
        <w:t xml:space="preserve"> </w:t>
      </w:r>
      <w:r>
        <w:rPr>
          <w:iCs/>
          <w:i/>
        </w:rPr>
        <w:t xml:space="preserve">Los estratos</w:t>
      </w:r>
      <w:r>
        <w:t xml:space="preserve"> </w:t>
      </w:r>
      <w:r>
        <w:t xml:space="preserve">(2013) by Juan Cárdenas </w:t>
      </w:r>
    </w:p>
    <w:p>
      <w:pPr>
        <w:pStyle w:val="BodyText"/>
      </w:pPr>
      <w:r>
        <w:rPr>
          <w:bCs/>
          <w:b/>
        </w:rPr>
        <w:t xml:space="preserve">C. Chapter 2: Displacement: Witnesses of the No-place</w:t>
      </w:r>
    </w:p>
    <w:p>
      <w:pPr>
        <w:pStyle w:val="BodyText"/>
      </w:pPr>
      <w:r>
        <w:t xml:space="preserve">1. 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pStyle w:val="BodyText"/>
      </w:pPr>
      <w:r>
        <w:t xml:space="preserve">2. 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pStyle w:val="BodyText"/>
      </w:pPr>
      <w:r>
        <w:t xml:space="preserve">3. 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p>
      <w:pPr>
        <w:pStyle w:val="BodyText"/>
      </w:pPr>
      <w:r>
        <w:rPr>
          <w:bCs/>
          <w:b/>
        </w:rPr>
        <w:t xml:space="preserve">D. Chapter 3: Hyperlocation: Testimonial Territories</w:t>
      </w:r>
    </w:p>
    <w:p>
      <w:pPr>
        <w:pStyle w:val="BodyText"/>
      </w:pPr>
      <w:r>
        <w:t xml:space="preserve">1. 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pStyle w:val="BodyText"/>
      </w:pPr>
      <w:r>
        <w:t xml:space="preserve">2. Territory and historical memory: Reports from Centro Nacional de Memoria Histórica (National Center of Historical Memory)</w:t>
      </w:r>
    </w:p>
    <w:p>
      <w:pPr>
        <w:pStyle w:val="BodyText"/>
      </w:pPr>
      <w:r>
        <w:t xml:space="preserve">3. 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p>
      <w:pPr>
        <w:pStyle w:val="BodyText"/>
      </w:pPr>
      <w:r>
        <w:rPr>
          <w:bCs/>
          <w:b/>
        </w:rPr>
        <w:t xml:space="preserve">E. Conclusion</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21">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22">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3">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24">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 w:id="25">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6">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27">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 w:id="30">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1">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2">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46">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48">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49">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50">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51">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gif" /><Relationship Type="http://schemas.openxmlformats.org/officeDocument/2006/relationships/hyperlink" Id="rId36" Target="http://url" TargetMode="External" /><Relationship Type="http://schemas.openxmlformats.org/officeDocument/2006/relationships/hyperlink" Id="rId41" Target="https://github.com/wikiti/pandoc-book-template#cross-references" TargetMode="External" /><Relationship Type="http://schemas.openxmlformats.org/officeDocument/2006/relationships/hyperlink" Id="rId35"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6" Target="http://url" TargetMode="External" /><Relationship Type="http://schemas.openxmlformats.org/officeDocument/2006/relationships/hyperlink" Id="rId41" Target="https://github.com/wikiti/pandoc-book-template#cross-references" TargetMode="External" /><Relationship Type="http://schemas.openxmlformats.org/officeDocument/2006/relationships/hyperlink" Id="rId35"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dissertation, Colombia, Conflict, Maps, Testimonial narratives</cp:keywords>
  <dcterms:created xsi:type="dcterms:W3CDTF">2021-06-03T16:21:19Z</dcterms:created>
  <dcterms:modified xsi:type="dcterms:W3CDTF">2021-06-03T16:21:19Z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