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2"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bookmarkStart w:id="21" w:name="i.-research-questions"/>
    <w:p>
      <w:pPr>
        <w:pStyle w:val="Heading2"/>
      </w:pPr>
      <w:r>
        <w:t xml:space="preserve">I. Research Questions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End w:id="22"/>
    <w:bookmarkStart w:id="26"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3"/>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4"/>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5"/>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6"/>
    <w:bookmarkStart w:id="27"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7"/>
    <w:bookmarkStart w:id="36" w:name="iii.-scope"/>
    <w:p>
      <w:pPr>
        <w:pStyle w:val="Heading1"/>
      </w:pPr>
      <w:r>
        <w:t xml:space="preserve">III. Scope</w:t>
      </w:r>
    </w:p>
    <w:bookmarkStart w:id="28"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8"/>
    <w:bookmarkStart w:id="30"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9"/>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30"/>
    <w:bookmarkStart w:id="35"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1"/>
      </w:r>
      <w:r>
        <w:t xml:space="preserve"> </w:t>
      </w:r>
      <w:r>
        <w:t xml:space="preserve">the Frente Nacional (1958-1974),</w:t>
      </w:r>
      <w:r>
        <w:rPr>
          <w:rStyle w:val="FootnoteReference"/>
        </w:rPr>
        <w:footnoteReference w:id="32"/>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3"/>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4"/>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5"/>
    <w:bookmarkEnd w:id="36"/>
    <w:bookmarkStart w:id="37" w:name="iv.-structure"/>
    <w:p>
      <w:pPr>
        <w:pStyle w:val="Heading1"/>
      </w:pPr>
      <w:r>
        <w:t xml:space="preserve">IV. Structure</w:t>
      </w:r>
    </w:p>
    <w:p>
      <w:pPr>
        <w:pStyle w:val="FirstParagraph"/>
      </w:pPr>
      <w:r>
        <w:rPr>
          <w:bCs/>
          <w:b/>
        </w:rPr>
        <w:t xml:space="preserve">A. Introduction</w:t>
      </w:r>
    </w:p>
    <w:p>
      <w:pPr>
        <w:pStyle w:val="BlockText"/>
      </w:pPr>
      <w:r>
        <w:t xml:space="preserve">1. Historical context. Definition of conflict zones.</w:t>
      </w:r>
    </w:p>
    <w:p>
      <w:pPr>
        <w:pStyle w:val="FirstParagraph"/>
      </w:pPr>
      <w:r>
        <w:t xml:space="preserve">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3. Space as a social and discursive production.</w:t>
      </w:r>
    </w:p>
    <w:p>
      <w:pPr>
        <w:pStyle w:val="BodyText"/>
      </w:pPr>
      <w:r>
        <w:rPr>
          <w:bCs/>
          <w:b/>
        </w:rPr>
        <w:t xml:space="preserve">B. 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BodyText"/>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3. The unnamed/un-namable spaces of</w:t>
      </w:r>
      <w:r>
        <w:t xml:space="preserve"> </w:t>
      </w:r>
      <w:r>
        <w:rPr>
          <w:iCs/>
          <w:i/>
        </w:rPr>
        <w:t xml:space="preserve">Los estratos</w:t>
      </w:r>
      <w:r>
        <w:t xml:space="preserve"> </w:t>
      </w:r>
      <w:r>
        <w:t xml:space="preserve">(2013) by Juan Cárdenas </w:t>
      </w:r>
    </w:p>
    <w:p>
      <w:pPr>
        <w:pStyle w:val="BodyText"/>
      </w:pPr>
      <w:r>
        <w:rPr>
          <w:bCs/>
          <w:b/>
        </w:rPr>
        <w:t xml:space="preserve">C. Chapter 2: Displacement: Witnesses of the No-place</w:t>
      </w:r>
    </w:p>
    <w:p>
      <w:pPr>
        <w:pStyle w:val="BodyText"/>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BodyText"/>
      </w:pPr>
      <w:r>
        <w:rPr>
          <w:bCs/>
          <w:b/>
        </w:rPr>
        <w:t xml:space="preserve">D. Chapter 3: Hyperlocation: Testimonial Territories</w:t>
      </w:r>
    </w:p>
    <w:p>
      <w:pPr>
        <w:pStyle w:val="BodyText"/>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2. Territory and historical memory: Reports from Centro Nacional de Memoria Histórica (National Center of Historical Memory)</w:t>
      </w:r>
    </w:p>
    <w:p>
      <w:pPr>
        <w:pStyle w:val="BodyText"/>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BodyText"/>
      </w:pPr>
      <w:r>
        <w:rPr>
          <w:bCs/>
          <w:b/>
        </w:rPr>
        <w:t xml:space="preserve">E. 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4">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5">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9">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1">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2">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3">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4">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2021-06-03T16:31:52Z</dcterms:created>
  <dcterms:modified xsi:type="dcterms:W3CDTF">2021-06-03T16:31:52Z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