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MyHealth Analytics Dashboard</w:t>
      </w:r>
    </w:p>
    <w:p>
      <w:pPr>
        <w:pStyle w:val="Heading2"/>
        <w:spacing w:after="240"/>
      </w:pPr>
      <w:r>
        <w:t xml:space="preserve">Dashboard Improvement — Final Decisions (Updated 270726)</w:t>
      </w:r>
    </w:p>
    <w:p>
      <w:pPr>
        <w:spacing w:after="120"/>
      </w:pPr>
      <w:r>
        <w:rPr>
          <w:i/>
          <w:iCs/>
          <w:sz w:val="18"/>
          <w:szCs w:val="18"/>
        </w:rPr>
        <w:t xml:space="preserve">This updates the original MyHealth_Dashboard_Improvement_270726.docx with the final decisions confirmed in review, and records exactly what was implemented and where.</w:t>
      </w:r>
    </w:p>
    <w:p>
      <w:pPr>
        <w:pStyle w:val="Heading1"/>
        <w:spacing w:after="120" w:before="240"/>
      </w:pPr>
      <w:r>
        <w:t xml:space="preserve">1. Core Principle (unchanged from original review)</w:t>
      </w:r>
    </w:p>
    <w:p>
      <w:pPr>
        <w:spacing w:after="120"/>
      </w:pPr>
      <w:r>
        <w:t xml:space="preserve">The dashboard was assessed as analytics-rich but decision-poor: many interesting charts, but several didn’t directly support the stated MyHealth business objectives (understand utilisation, identify bottlenecks, support planning, provide actionable insight for non-technical stakeholders). The rule applied throughout: every chart must answer a management question, or it gets removed.</w:t>
      </w:r>
    </w:p>
    <w:p>
      <w:pPr>
        <w:pStyle w:val="Heading1"/>
        <w:spacing w:after="120" w:before="240"/>
      </w:pPr>
      <w:r>
        <w:t xml:space="preserve">2. Final Decisions by Chart</w:t>
      </w:r>
    </w:p>
    <w:p>
      <w:pPr>
        <w:pStyle w:val="Heading2"/>
        <w:spacing w:after="120" w:before="240"/>
      </w:pPr>
      <w:r>
        <w:t xml:space="preserve">2.1 Service Utilisation &amp; Efficiency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800"/>
      </w:tblGrid>
      <w:tr>
        <w:tc>
          <w:tcPr>
            <w:tcW w:type="dxa" w:w="3000"/>
            <w:shd w:fill="005B96" w:val="clear"/>
          </w:tcPr>
          <w:p>
            <w:r>
              <w:rPr>
                <w:b/>
                <w:bCs/>
                <w:color w:val="FFFFFF"/>
                <w:sz w:val="19"/>
                <w:szCs w:val="19"/>
              </w:rPr>
              <w:t xml:space="preserve">Chart</w:t>
            </w:r>
          </w:p>
        </w:tc>
        <w:tc>
          <w:tcPr>
            <w:tcW w:type="dxa" w:w="1400"/>
            <w:shd w:fill="005B96" w:val="clear"/>
          </w:tcPr>
          <w:p>
            <w:r>
              <w:rPr>
                <w:b/>
                <w:bCs/>
                <w:color w:val="FFFFFF"/>
                <w:sz w:val="19"/>
                <w:szCs w:val="19"/>
              </w:rPr>
              <w:t xml:space="preserve">Decision</w:t>
            </w:r>
          </w:p>
        </w:tc>
        <w:tc>
          <w:tcPr>
            <w:tcW w:type="dxa" w:w="4800"/>
            <w:shd w:fill="005B96" w:val="clear"/>
          </w:tcPr>
          <w:p>
            <w:r>
              <w:rPr>
                <w:b/>
                <w:bCs/>
                <w:color w:val="FFFFFF"/>
                <w:sz w:val="19"/>
                <w:szCs w:val="19"/>
              </w:rPr>
              <w:t xml:space="preserve">Reasoning</w:t>
            </w:r>
          </w:p>
        </w:tc>
      </w:tr>
      <w:tr>
        <w:tc>
          <w:tcPr>
            <w:tcW w:type="dxa" w:w="3000"/>
            <w:shd w:fill="E8F5E9" w:val="clear"/>
          </w:tcPr>
          <w:p>
            <w:r>
              <w:rPr>
                <w:b w:val="false"/>
                <w:bCs w:val="false"/>
                <w:sz w:val="19"/>
                <w:szCs w:val="19"/>
              </w:rPr>
              <w:t xml:space="preserve">ALOS Trend</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Answers: are services becoming more efficient? Widened to full-width after its neighbour was removed.</w:t>
            </w:r>
          </w:p>
        </w:tc>
      </w:tr>
      <w:tr>
        <w:tc>
          <w:tcPr>
            <w:tcW w:type="dxa" w:w="3000"/>
            <w:shd w:fill="E8F5E9" w:val="clear"/>
          </w:tcPr>
          <w:p>
            <w:r>
              <w:rPr>
                <w:b w:val="false"/>
                <w:bCs w:val="false"/>
                <w:sz w:val="19"/>
                <w:szCs w:val="19"/>
              </w:rPr>
              <w:t xml:space="preserve">Cross-Country Comparison Bar</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Answers: which countries are best-practice benchmarks or outliers?</w:t>
            </w:r>
          </w:p>
        </w:tc>
      </w:tr>
      <w:tr>
        <w:tc>
          <w:tcPr>
            <w:tcW w:type="dxa" w:w="3000"/>
            <w:shd w:fill="E8F5E9" w:val="clear"/>
          </w:tcPr>
          <w:p>
            <w:r>
              <w:rPr>
                <w:b w:val="false"/>
                <w:bCs w:val="false"/>
                <w:sz w:val="19"/>
                <w:szCs w:val="19"/>
              </w:rPr>
              <w:t xml:space="preserve">Beds vs ALOS Scatter</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Strong evidence chart for resource planning.</w:t>
            </w:r>
          </w:p>
        </w:tc>
      </w:tr>
      <w:tr>
        <w:tc>
          <w:tcPr>
            <w:tcW w:type="dxa" w:w="3000"/>
            <w:shd w:fill="FFEBEE" w:val="clear"/>
          </w:tcPr>
          <w:p>
            <w:r>
              <w:rPr>
                <w:b w:val="false"/>
                <w:bCs w:val="false"/>
                <w:sz w:val="19"/>
                <w:szCs w:val="19"/>
              </w:rPr>
              <w:t xml:space="preserve">ALOS Distribution Histogram</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Low business value — executives don’t need to know how many countries sit in a bucket.</w:t>
            </w:r>
          </w:p>
        </w:tc>
      </w:tr>
      <w:tr>
        <w:tc>
          <w:tcPr>
            <w:tcW w:type="dxa" w:w="3000"/>
            <w:shd w:fill="FFEBEE" w:val="clear"/>
          </w:tcPr>
          <w:p>
            <w:r>
              <w:rPr>
                <w:b w:val="false"/>
                <w:bCs w:val="false"/>
                <w:sz w:val="19"/>
                <w:szCs w:val="19"/>
              </w:rPr>
              <w:t xml:space="preserve">Diagnostic Donut Chart</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Donuts communicate poorly; Top 10 Diagnoses bar chart already covers this.</w:t>
            </w:r>
          </w:p>
        </w:tc>
      </w:tr>
      <w:tr>
        <w:tc>
          <w:tcPr>
            <w:tcW w:type="dxa" w:w="3000"/>
            <w:shd w:fill="FFEBEE" w:val="clear"/>
          </w:tcPr>
          <w:p>
            <w:r>
              <w:rPr>
                <w:b w:val="false"/>
                <w:bCs w:val="false"/>
                <w:sz w:val="19"/>
                <w:szCs w:val="19"/>
              </w:rPr>
              <w:t xml:space="preserve">Year-on-Year ALOS Change</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Too detailed — managers care about trend, not annual noise.</w:t>
            </w:r>
          </w:p>
        </w:tc>
      </w:tr>
      <w:tr>
        <w:tc>
          <w:tcPr>
            <w:tcW w:type="dxa" w:w="3000"/>
            <w:shd w:fill="FFEBEE" w:val="clear"/>
          </w:tcPr>
          <w:p>
            <w:r>
              <w:rPr>
                <w:b w:val="false"/>
                <w:bCs w:val="false"/>
                <w:sz w:val="19"/>
                <w:szCs w:val="19"/>
              </w:rPr>
              <w:t xml:space="preserve">Decade Comparison</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Redundant once the full-period ALOS Trend chart is the main trend view.</w:t>
            </w:r>
          </w:p>
        </w:tc>
      </w:tr>
    </w:tbl>
    <w:p>
      <w:pPr>
        <w:pStyle w:val="Heading2"/>
        <w:spacing w:after="120" w:before="240"/>
      </w:pPr>
      <w:r>
        <w:t xml:space="preserve">2.2 Demand Forecasting &amp; Planning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800"/>
      </w:tblGrid>
      <w:tr>
        <w:tc>
          <w:tcPr>
            <w:tcW w:type="dxa" w:w="3000"/>
            <w:shd w:fill="005B96" w:val="clear"/>
          </w:tcPr>
          <w:p>
            <w:r>
              <w:rPr>
                <w:b/>
                <w:bCs/>
                <w:color w:val="FFFFFF"/>
                <w:sz w:val="19"/>
                <w:szCs w:val="19"/>
              </w:rPr>
              <w:t xml:space="preserve">Chart</w:t>
            </w:r>
          </w:p>
        </w:tc>
        <w:tc>
          <w:tcPr>
            <w:tcW w:type="dxa" w:w="1400"/>
            <w:shd w:fill="005B96" w:val="clear"/>
          </w:tcPr>
          <w:p>
            <w:r>
              <w:rPr>
                <w:b/>
                <w:bCs/>
                <w:color w:val="FFFFFF"/>
                <w:sz w:val="19"/>
                <w:szCs w:val="19"/>
              </w:rPr>
              <w:t xml:space="preserve">Decision</w:t>
            </w:r>
          </w:p>
        </w:tc>
        <w:tc>
          <w:tcPr>
            <w:tcW w:type="dxa" w:w="4800"/>
            <w:shd w:fill="005B96" w:val="clear"/>
          </w:tcPr>
          <w:p>
            <w:r>
              <w:rPr>
                <w:b/>
                <w:bCs/>
                <w:color w:val="FFFFFF"/>
                <w:sz w:val="19"/>
                <w:szCs w:val="19"/>
              </w:rPr>
              <w:t xml:space="preserve">Reasoning</w:t>
            </w:r>
          </w:p>
        </w:tc>
      </w:tr>
      <w:tr>
        <w:tc>
          <w:tcPr>
            <w:tcW w:type="dxa" w:w="3000"/>
            <w:shd w:fill="E8F5E9" w:val="clear"/>
          </w:tcPr>
          <w:p>
            <w:r>
              <w:rPr>
                <w:b w:val="false"/>
                <w:bCs w:val="false"/>
                <w:sz w:val="19"/>
                <w:szCs w:val="19"/>
              </w:rPr>
              <w:t xml:space="preserve">Forecast Trend to 2030</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Directly supports staffing, capacity planning, future demand.</w:t>
            </w:r>
          </w:p>
        </w:tc>
      </w:tr>
      <w:tr>
        <w:tc>
          <w:tcPr>
            <w:tcW w:type="dxa" w:w="3000"/>
            <w:shd w:fill="E8F5E9" w:val="clear"/>
          </w:tcPr>
          <w:p>
            <w:r>
              <w:rPr>
                <w:b w:val="false"/>
                <w:bCs w:val="false"/>
                <w:sz w:val="19"/>
                <w:szCs w:val="19"/>
              </w:rPr>
              <w:t xml:space="preserve">Forecast Summary Table</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Decision-makers need this.</w:t>
            </w:r>
          </w:p>
        </w:tc>
      </w:tr>
      <w:tr>
        <w:tc>
          <w:tcPr>
            <w:tcW w:type="dxa" w:w="3000"/>
            <w:shd w:fill="E8F5E9" w:val="clear"/>
          </w:tcPr>
          <w:p>
            <w:r>
              <w:rPr>
                <w:b w:val="false"/>
                <w:bCs w:val="false"/>
                <w:sz w:val="19"/>
                <w:szCs w:val="19"/>
              </w:rPr>
              <w:t xml:space="preserve">Bed Capacity Forecast</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Very relevant to planning.</w:t>
            </w:r>
          </w:p>
        </w:tc>
      </w:tr>
      <w:tr>
        <w:tc>
          <w:tcPr>
            <w:tcW w:type="dxa" w:w="3000"/>
            <w:shd w:fill="FFEBEE" w:val="clear"/>
          </w:tcPr>
          <w:p>
            <w:r>
              <w:rPr>
                <w:b w:val="false"/>
                <w:bCs w:val="false"/>
                <w:sz w:val="19"/>
                <w:szCs w:val="19"/>
              </w:rPr>
              <w:t xml:space="preserve">Forecast 2027 KPI card</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Reduces KPI cluster clutter — 2030 is the primary planning horizon; kept Best Fit and Countries Modelled alongside 2030.</w:t>
            </w:r>
          </w:p>
        </w:tc>
      </w:tr>
    </w:tbl>
    <w:p>
      <w:pPr>
        <w:pStyle w:val="Heading2"/>
        <w:spacing w:after="120" w:before="240"/>
      </w:pPr>
      <w:r>
        <w:t xml:space="preserve">2.3 Digital Health Adoption</w:t>
      </w:r>
    </w:p>
    <w:p>
      <w:pPr>
        <w:spacing w:after="120"/>
      </w:pPr>
      <w:r>
        <w:t xml:space="preserve">No changes made here — this tab was already assessed as reasonably lean (Overall Digital Health Maturity ranking and Category Radar both kept as the two strongest charts on the tab).</w:t>
      </w:r>
    </w:p>
    <w:p>
      <w:pPr>
        <w:pStyle w:val="Heading2"/>
        <w:spacing w:after="120" w:before="240"/>
      </w:pPr>
      <w:r>
        <w:t xml:space="preserve">2.4 Equity &amp; Access</w:t>
      </w:r>
    </w:p>
    <w:p>
      <w:pPr>
        <w:spacing w:after="120"/>
      </w:pPr>
      <w:r>
        <w:t xml:space="preserve">No changes made here — already lean (Equity Spectrum and Variance Over Time both kept).</w:t>
      </w:r>
    </w:p>
    <w:p>
      <w:pPr>
        <w:pStyle w:val="Heading2"/>
        <w:spacing w:after="120" w:before="240"/>
      </w:pPr>
      <w:r>
        <w:t xml:space="preserve">2.5 Advanced Analytics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800"/>
      </w:tblGrid>
      <w:tr>
        <w:tc>
          <w:tcPr>
            <w:tcW w:type="dxa" w:w="3000"/>
            <w:shd w:fill="005B96" w:val="clear"/>
          </w:tcPr>
          <w:p>
            <w:r>
              <w:rPr>
                <w:b/>
                <w:bCs/>
                <w:color w:val="FFFFFF"/>
                <w:sz w:val="19"/>
                <w:szCs w:val="19"/>
              </w:rPr>
              <w:t xml:space="preserve">Chart</w:t>
            </w:r>
          </w:p>
        </w:tc>
        <w:tc>
          <w:tcPr>
            <w:tcW w:type="dxa" w:w="1400"/>
            <w:shd w:fill="005B96" w:val="clear"/>
          </w:tcPr>
          <w:p>
            <w:r>
              <w:rPr>
                <w:b/>
                <w:bCs/>
                <w:color w:val="FFFFFF"/>
                <w:sz w:val="19"/>
                <w:szCs w:val="19"/>
              </w:rPr>
              <w:t xml:space="preserve">Decision</w:t>
            </w:r>
          </w:p>
        </w:tc>
        <w:tc>
          <w:tcPr>
            <w:tcW w:type="dxa" w:w="4800"/>
            <w:shd w:fill="005B96" w:val="clear"/>
          </w:tcPr>
          <w:p>
            <w:r>
              <w:rPr>
                <w:b/>
                <w:bCs/>
                <w:color w:val="FFFFFF"/>
                <w:sz w:val="19"/>
                <w:szCs w:val="19"/>
              </w:rPr>
              <w:t xml:space="preserve">Reasoning</w:t>
            </w:r>
          </w:p>
        </w:tc>
      </w:tr>
      <w:tr>
        <w:tc>
          <w:tcPr>
            <w:tcW w:type="dxa" w:w="3000"/>
            <w:shd w:fill="E8F5E9" w:val="clear"/>
          </w:tcPr>
          <w:p>
            <w:r>
              <w:rPr>
                <w:b w:val="false"/>
                <w:bCs w:val="false"/>
                <w:sz w:val="19"/>
                <w:szCs w:val="19"/>
              </w:rPr>
              <w:t xml:space="preserve">Executive Bubble Chart</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Combines ALOS, Beds, Digital Maturity, Region — probably the strongest executive chart on the dashboard.</w:t>
            </w:r>
          </w:p>
        </w:tc>
      </w:tr>
      <w:tr>
        <w:tc>
          <w:tcPr>
            <w:tcW w:type="dxa" w:w="3000"/>
            <w:shd w:fill="E8F5E9" w:val="clear"/>
          </w:tcPr>
          <w:p>
            <w:r>
              <w:rPr>
                <w:b w:val="false"/>
                <w:bCs w:val="false"/>
                <w:sz w:val="19"/>
                <w:szCs w:val="19"/>
              </w:rPr>
              <w:t xml:space="preserve">Capacity-Efficiency Quadrant</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Chosen over the Risk Heatmap (see 2.6 below) — answers who’s efficient, over-resourced, and where investment should occur.</w:t>
            </w:r>
          </w:p>
        </w:tc>
      </w:tr>
      <w:tr>
        <w:tc>
          <w:tcPr>
            <w:tcW w:type="dxa" w:w="3000"/>
            <w:shd w:fill="E8F5E9" w:val="clear"/>
          </w:tcPr>
          <w:p>
            <w:r>
              <w:rPr>
                <w:b w:val="false"/>
                <w:bCs w:val="false"/>
                <w:sz w:val="19"/>
                <w:szCs w:val="19"/>
              </w:rPr>
              <w:t xml:space="preserve">Prescriptive Action Table</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Produces recommendations — exactly what a BA is expected to deliver.</w:t>
            </w:r>
          </w:p>
        </w:tc>
      </w:tr>
      <w:tr>
        <w:tc>
          <w:tcPr>
            <w:tcW w:type="dxa" w:w="3000"/>
            <w:shd w:fill="E8F5E9" w:val="clear"/>
          </w:tcPr>
          <w:p>
            <w:r>
              <w:rPr>
                <w:b w:val="false"/>
                <w:bCs w:val="false"/>
                <w:sz w:val="19"/>
                <w:szCs w:val="19"/>
              </w:rPr>
              <w:t xml:space="preserve">World Map</w:t>
            </w:r>
          </w:p>
        </w:tc>
        <w:tc>
          <w:tcPr>
            <w:tcW w:type="dxa" w:w="1400"/>
            <w:shd w:fill="E8F5E9" w:val="clear"/>
          </w:tcPr>
          <w:p>
            <w:r>
              <w:rPr>
                <w:b w:val="false"/>
                <w:bCs w:val="false"/>
                <w:sz w:val="19"/>
                <w:szCs w:val="19"/>
              </w:rPr>
              <w:t xml:space="preserve">Keep</w:t>
            </w:r>
          </w:p>
        </w:tc>
        <w:tc>
          <w:tcPr>
            <w:tcW w:type="dxa" w:w="4800"/>
          </w:tcPr>
          <w:p>
            <w:r>
              <w:rPr>
                <w:b w:val="false"/>
                <w:bCs w:val="false"/>
                <w:sz w:val="19"/>
                <w:szCs w:val="19"/>
              </w:rPr>
              <w:t xml:space="preserve">⚠ Overturns the original recommendation. Kept per explicit direction: world maps are genuinely useful for spotting geographic patterns at a glance, which speaks directly to the "identify bottlenecks" objective even without precise figures.</w:t>
            </w:r>
          </w:p>
        </w:tc>
      </w:tr>
      <w:tr>
        <w:tc>
          <w:tcPr>
            <w:tcW w:type="dxa" w:w="3000"/>
            <w:shd w:fill="FFEBEE" w:val="clear"/>
          </w:tcPr>
          <w:p>
            <w:r>
              <w:rPr>
                <w:b w:val="false"/>
                <w:bCs w:val="false"/>
                <w:sz w:val="19"/>
                <w:szCs w:val="19"/>
              </w:rPr>
              <w:t xml:space="preserve">Risk Heatmap</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Between Heatmap and Quadrant, the Quadrant is easier to read for a non-technical exec audience — 2 axes with an intuitive "which corner am I in" framing, vs. a 4-metric colour-intensity legend.</w:t>
            </w:r>
          </w:p>
        </w:tc>
      </w:tr>
      <w:tr>
        <w:tc>
          <w:tcPr>
            <w:tcW w:type="dxa" w:w="3000"/>
            <w:shd w:fill="FFEBEE" w:val="clear"/>
          </w:tcPr>
          <w:p>
            <w:r>
              <w:rPr>
                <w:b w:val="false"/>
                <w:bCs w:val="false"/>
                <w:sz w:val="19"/>
                <w:szCs w:val="19"/>
              </w:rPr>
              <w:t xml:space="preserve">Region → Risk Sankey</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Interesting but not necessary; very difficult for healthcare executives to interpret correctly.</w:t>
            </w:r>
          </w:p>
        </w:tc>
      </w:tr>
      <w:tr>
        <w:tc>
          <w:tcPr>
            <w:tcW w:type="dxa" w:w="3000"/>
            <w:shd w:fill="FFEBEE" w:val="clear"/>
          </w:tcPr>
          <w:p>
            <w:r>
              <w:rPr>
                <w:b w:val="false"/>
                <w:bCs w:val="false"/>
                <w:sz w:val="19"/>
                <w:szCs w:val="19"/>
              </w:rPr>
              <w:t xml:space="preserve">Correlation Strength Bar Chart</w:t>
            </w:r>
          </w:p>
        </w:tc>
        <w:tc>
          <w:tcPr>
            <w:tcW w:type="dxa" w:w="1400"/>
            <w:shd w:fill="FFEBEE" w:val="clear"/>
          </w:tcPr>
          <w:p>
            <w:r>
              <w:rPr>
                <w:b w:val="false"/>
                <w:bCs w:val="false"/>
                <w:sz w:val="19"/>
                <w:szCs w:val="19"/>
              </w:rPr>
              <w:t xml:space="preserve">Remove</w:t>
            </w:r>
          </w:p>
        </w:tc>
        <w:tc>
          <w:tcPr>
            <w:tcW w:type="dxa" w:w="4800"/>
          </w:tcPr>
          <w:p>
            <w:r>
              <w:rPr>
                <w:b w:val="false"/>
                <w:bCs w:val="false"/>
                <w:sz w:val="19"/>
                <w:szCs w:val="19"/>
              </w:rPr>
              <w:t xml:space="preserve">Duplicates the story already told by the Beds vs ALOS scatter in Service Utilisation &amp; Efficiency.</w:t>
            </w:r>
          </w:p>
        </w:tc>
      </w:tr>
    </w:tbl>
    <w:p>
      <w:pPr>
        <w:pStyle w:val="Heading2"/>
        <w:spacing w:after="120" w:before="240"/>
      </w:pPr>
      <w:r>
        <w:t xml:space="preserve">2.6 Deferred — Revisit After Seeing the Reduced Dashboard</w:t>
      </w:r>
    </w:p>
    <w:p>
      <w:pPr>
        <w:spacing w:after="120"/>
      </w:pPr>
      <w:r>
        <w:t xml:space="preserve">Three charts were intentionally left untouched, to be revisited only if the dashboard still feels cluttered once everything else above is implemented:</w:t>
      </w:r>
    </w:p>
    <w:p>
      <w:pPr>
        <w:pStyle w:val="ListParagraph"/>
        <w:numPr>
          <w:ilvl w:val="0"/>
          <w:numId w:val="2"/>
        </w:numPr>
        <w:spacing w:after="60"/>
      </w:pPr>
      <w:r>
        <w:t xml:space="preserve">Diagnostic ALOS by Country (cDiagCtry)</w:t>
      </w:r>
    </w:p>
    <w:p>
      <w:pPr>
        <w:pStyle w:val="ListParagraph"/>
        <w:numPr>
          <w:ilvl w:val="0"/>
          <w:numId w:val="2"/>
        </w:numPr>
        <w:spacing w:after="60"/>
      </w:pPr>
      <w:r>
        <w:t xml:space="preserve">Hospital Beds per 1,000 — Trend (cBTrend)</w:t>
      </w:r>
    </w:p>
    <w:p>
      <w:pPr>
        <w:pStyle w:val="ListParagraph"/>
        <w:numPr>
          <w:ilvl w:val="0"/>
          <w:numId w:val="2"/>
        </w:numPr>
        <w:spacing w:after="60"/>
      </w:pPr>
      <w:r>
        <w:t xml:space="preserve">Hospital Beds per 1,000 — Cross-Country (cBBar)</w:t>
      </w:r>
    </w:p>
    <w:p>
      <w:pPr>
        <w:pStyle w:val="Heading1"/>
        <w:spacing w:after="120" w:before="240"/>
      </w:pPr>
      <w:r>
        <w:t xml:space="preserve">3. Colour Palette — Implemented As Specified</w:t>
      </w:r>
    </w:p>
    <w:p>
      <w:pPr>
        <w:spacing w:after="120"/>
      </w:pPr>
      <w:r>
        <w:t xml:space="preserve">The original recommendation is implemented exactly as specified, consolidating from 8 accent colours (teal, violet, amber, rose, mint, blue, orange, pink) down to 6, each with a clear semantic 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c>
          <w:tcPr>
            <w:tcW w:type="dxa" w:w="2600"/>
            <w:shd w:fill="005B96" w:val="clear"/>
          </w:tcPr>
          <w:p>
            <w:r>
              <w:rPr>
                <w:b/>
                <w:bCs/>
                <w:color w:val="FFFFFF"/>
                <w:sz w:val="19"/>
                <w:szCs w:val="19"/>
              </w:rPr>
              <w:t xml:space="preserve">Role</w:t>
            </w:r>
          </w:p>
        </w:tc>
        <w:tc>
          <w:tcPr>
            <w:tcW w:type="dxa" w:w="2000"/>
            <w:shd w:fill="005B96" w:val="clear"/>
          </w:tcPr>
          <w:p>
            <w:r>
              <w:rPr>
                <w:b/>
                <w:bCs/>
                <w:color w:val="FFFFFF"/>
                <w:sz w:val="19"/>
                <w:szCs w:val="19"/>
              </w:rPr>
              <w:t xml:space="preserve">Colour</w:t>
            </w:r>
          </w:p>
        </w:tc>
        <w:tc>
          <w:tcPr>
            <w:tcW w:type="dxa" w:w="4600"/>
            <w:shd w:fill="005B96" w:val="clear"/>
          </w:tcPr>
          <w:p>
            <w:r>
              <w:rPr>
                <w:b/>
                <w:bCs/>
                <w:color w:val="FFFFFF"/>
                <w:sz w:val="19"/>
                <w:szCs w:val="19"/>
              </w:rPr>
              <w:t xml:space="preserve">Replaces</w:t>
            </w:r>
          </w:p>
        </w:tc>
      </w:tr>
      <w:tr>
        <w:tc>
          <w:tcPr>
            <w:tcW w:type="dxa" w:w="2600"/>
          </w:tcPr>
          <w:p>
            <w:r>
              <w:rPr>
                <w:b w:val="false"/>
                <w:bCs w:val="false"/>
                <w:sz w:val="19"/>
                <w:szCs w:val="19"/>
              </w:rPr>
              <w:t xml:space="preserve">Primary</w:t>
            </w:r>
          </w:p>
        </w:tc>
        <w:tc>
          <w:tcPr>
            <w:tcW w:type="dxa" w:w="2000"/>
          </w:tcPr>
          <w:p>
            <w:r>
              <w:rPr>
                <w:b w:val="false"/>
                <w:bCs w:val="false"/>
                <w:sz w:val="19"/>
                <w:szCs w:val="19"/>
              </w:rPr>
              <w:t xml:space="preserve">#005B96 Navy Blue</w:t>
            </w:r>
          </w:p>
        </w:tc>
        <w:tc>
          <w:tcPr>
            <w:tcW w:type="dxa" w:w="4600"/>
          </w:tcPr>
          <w:p>
            <w:r>
              <w:rPr>
                <w:b w:val="false"/>
                <w:bCs w:val="false"/>
                <w:sz w:val="19"/>
                <w:szCs w:val="19"/>
              </w:rPr>
              <w:t xml:space="preserve">Old "blue" (#2563eb)</w:t>
            </w:r>
          </w:p>
        </w:tc>
      </w:tr>
      <w:tr>
        <w:tc>
          <w:tcPr>
            <w:tcW w:type="dxa" w:w="2600"/>
          </w:tcPr>
          <w:p>
            <w:r>
              <w:rPr>
                <w:b w:val="false"/>
                <w:bCs w:val="false"/>
                <w:sz w:val="19"/>
                <w:szCs w:val="19"/>
              </w:rPr>
              <w:t xml:space="preserve">Secondary</w:t>
            </w:r>
          </w:p>
        </w:tc>
        <w:tc>
          <w:tcPr>
            <w:tcW w:type="dxa" w:w="2000"/>
          </w:tcPr>
          <w:p>
            <w:r>
              <w:rPr>
                <w:b w:val="false"/>
                <w:bCs w:val="false"/>
                <w:sz w:val="19"/>
                <w:szCs w:val="19"/>
              </w:rPr>
              <w:t xml:space="preserve">#2E86AB Health Blue</w:t>
            </w:r>
          </w:p>
        </w:tc>
        <w:tc>
          <w:tcPr>
            <w:tcW w:type="dxa" w:w="4600"/>
          </w:tcPr>
          <w:p>
            <w:r>
              <w:rPr>
                <w:b w:val="false"/>
                <w:bCs w:val="false"/>
                <w:sz w:val="19"/>
                <w:szCs w:val="19"/>
              </w:rPr>
              <w:t xml:space="preserve">Old "teal" (#0891b2)</w:t>
            </w:r>
          </w:p>
        </w:tc>
      </w:tr>
      <w:tr>
        <w:tc>
          <w:tcPr>
            <w:tcW w:type="dxa" w:w="2600"/>
          </w:tcPr>
          <w:p>
            <w:r>
              <w:rPr>
                <w:b w:val="false"/>
                <w:bCs w:val="false"/>
                <w:sz w:val="19"/>
                <w:szCs w:val="19"/>
              </w:rPr>
              <w:t xml:space="preserve">Positive</w:t>
            </w:r>
          </w:p>
        </w:tc>
        <w:tc>
          <w:tcPr>
            <w:tcW w:type="dxa" w:w="2000"/>
          </w:tcPr>
          <w:p>
            <w:r>
              <w:rPr>
                <w:b w:val="false"/>
                <w:bCs w:val="false"/>
                <w:sz w:val="19"/>
                <w:szCs w:val="19"/>
              </w:rPr>
              <w:t xml:space="preserve">#4CAF50 Green</w:t>
            </w:r>
          </w:p>
        </w:tc>
        <w:tc>
          <w:tcPr>
            <w:tcW w:type="dxa" w:w="4600"/>
          </w:tcPr>
          <w:p>
            <w:r>
              <w:rPr>
                <w:b w:val="false"/>
                <w:bCs w:val="false"/>
                <w:sz w:val="19"/>
                <w:szCs w:val="19"/>
              </w:rPr>
              <w:t xml:space="preserve">Old "mint" (#059669)</w:t>
            </w:r>
          </w:p>
        </w:tc>
      </w:tr>
      <w:tr>
        <w:tc>
          <w:tcPr>
            <w:tcW w:type="dxa" w:w="2600"/>
          </w:tcPr>
          <w:p>
            <w:r>
              <w:rPr>
                <w:b w:val="false"/>
                <w:bCs w:val="false"/>
                <w:sz w:val="19"/>
                <w:szCs w:val="19"/>
              </w:rPr>
              <w:t xml:space="preserve">Warning</w:t>
            </w:r>
          </w:p>
        </w:tc>
        <w:tc>
          <w:tcPr>
            <w:tcW w:type="dxa" w:w="2000"/>
          </w:tcPr>
          <w:p>
            <w:r>
              <w:rPr>
                <w:b w:val="false"/>
                <w:bCs w:val="false"/>
                <w:sz w:val="19"/>
                <w:szCs w:val="19"/>
              </w:rPr>
              <w:t xml:space="preserve">#F9A825 Amber</w:t>
            </w:r>
          </w:p>
        </w:tc>
        <w:tc>
          <w:tcPr>
            <w:tcW w:type="dxa" w:w="4600"/>
          </w:tcPr>
          <w:p>
            <w:r>
              <w:rPr>
                <w:b w:val="false"/>
                <w:bCs w:val="false"/>
                <w:sz w:val="19"/>
                <w:szCs w:val="19"/>
              </w:rPr>
              <w:t xml:space="preserve">Old "amber" + "orange" (#d97706, #ea580c)</w:t>
            </w:r>
          </w:p>
        </w:tc>
      </w:tr>
      <w:tr>
        <w:tc>
          <w:tcPr>
            <w:tcW w:type="dxa" w:w="2600"/>
          </w:tcPr>
          <w:p>
            <w:r>
              <w:rPr>
                <w:b w:val="false"/>
                <w:bCs w:val="false"/>
                <w:sz w:val="19"/>
                <w:szCs w:val="19"/>
              </w:rPr>
              <w:t xml:space="preserve">High Risk</w:t>
            </w:r>
          </w:p>
        </w:tc>
        <w:tc>
          <w:tcPr>
            <w:tcW w:type="dxa" w:w="2000"/>
          </w:tcPr>
          <w:p>
            <w:r>
              <w:rPr>
                <w:b w:val="false"/>
                <w:bCs w:val="false"/>
                <w:sz w:val="19"/>
                <w:szCs w:val="19"/>
              </w:rPr>
              <w:t xml:space="preserve">#D32F2F Red</w:t>
            </w:r>
          </w:p>
        </w:tc>
        <w:tc>
          <w:tcPr>
            <w:tcW w:type="dxa" w:w="4600"/>
          </w:tcPr>
          <w:p>
            <w:r>
              <w:rPr>
                <w:b w:val="false"/>
                <w:bCs w:val="false"/>
                <w:sz w:val="19"/>
                <w:szCs w:val="19"/>
              </w:rPr>
              <w:t xml:space="preserve">Old "rose" + "pink" (#e11d48, #db2777)</w:t>
            </w:r>
          </w:p>
        </w:tc>
      </w:tr>
      <w:tr>
        <w:tc>
          <w:tcPr>
            <w:tcW w:type="dxa" w:w="2600"/>
          </w:tcPr>
          <w:p>
            <w:r>
              <w:rPr>
                <w:b w:val="false"/>
                <w:bCs w:val="false"/>
                <w:sz w:val="19"/>
                <w:szCs w:val="19"/>
              </w:rPr>
              <w:t xml:space="preserve">Neutral</w:t>
            </w:r>
          </w:p>
        </w:tc>
        <w:tc>
          <w:tcPr>
            <w:tcW w:type="dxa" w:w="2000"/>
          </w:tcPr>
          <w:p>
            <w:r>
              <w:rPr>
                <w:b w:val="false"/>
                <w:bCs w:val="false"/>
                <w:sz w:val="19"/>
                <w:szCs w:val="19"/>
              </w:rPr>
              <w:t xml:space="preserve">#607D8B Grey</w:t>
            </w:r>
          </w:p>
        </w:tc>
        <w:tc>
          <w:tcPr>
            <w:tcW w:type="dxa" w:w="4600"/>
          </w:tcPr>
          <w:p>
            <w:r>
              <w:rPr>
                <w:b w:val="false"/>
                <w:bCs w:val="false"/>
                <w:sz w:val="19"/>
                <w:szCs w:val="19"/>
              </w:rPr>
              <w:t xml:space="preserve">Old "violet" (#7c3aed) — used for the Beds-vs-ALOS trendline</w:t>
            </w:r>
          </w:p>
        </w:tc>
      </w:tr>
    </w:tbl>
    <w:p>
      <w:pPr>
        <w:pStyle w:val="Heading1"/>
        <w:spacing w:after="120" w:before="240"/>
      </w:pPr>
      <w:r>
        <w:t xml:space="preserve">4. Implementation Notes — For The Team</w:t>
      </w:r>
    </w:p>
    <w:p>
      <w:pPr>
        <w:spacing w:after="120"/>
      </w:pPr>
      <w:r>
        <w:t xml:space="preserve">For anyone reviewing the code diff, per the request that the team learn from this rather than just receive a finished file:</w:t>
      </w:r>
    </w:p>
    <w:p>
      <w:pPr>
        <w:pStyle w:val="ListParagraph"/>
        <w:numPr>
          <w:ilvl w:val="0"/>
          <w:numId w:val="2"/>
        </w:numPr>
        <w:spacing w:after="60"/>
      </w:pPr>
      <w:r>
        <w:t xml:space="preserve">All changes are in the HTML template file only (MyHealth_OECD_Dashboard_v7_REVISED.html) — none of the 6 Python pipeline scripts needed to change. Chart layout, chart-drawing JavaScript, and colours all live in this one template; the Python scripts only fetch, clean, validate, and inject data.</w:t>
      </w:r>
    </w:p>
    <w:p>
      <w:pPr>
        <w:pStyle w:val="ListParagraph"/>
        <w:numPr>
          <w:ilvl w:val="0"/>
          <w:numId w:val="2"/>
        </w:numPr>
        <w:spacing w:after="60"/>
      </w:pPr>
      <w:r>
        <w:t xml:space="preserve">Every removed chart’s original code is kept, commented out, directly in place — search the file for "REMOVED (270726 improvement review)" to find each one, with a one-line reason next to it.</w:t>
      </w:r>
    </w:p>
    <w:p>
      <w:pPr>
        <w:pStyle w:val="ListParagraph"/>
        <w:numPr>
          <w:ilvl w:val="0"/>
          <w:numId w:val="2"/>
        </w:numPr>
        <w:spacing w:after="60"/>
      </w:pPr>
      <w:r>
        <w:t xml:space="preserve">For the one larger removal (the D3 Sankey function), the function definition itself was left completely intact and just marked unused, rather than wrapped in a giant comment block — easier to read as a diff, and easier to reinstate later if ever needed.</w:t>
      </w:r>
    </w:p>
    <w:p>
      <w:pPr>
        <w:pStyle w:val="ListParagraph"/>
        <w:numPr>
          <w:ilvl w:val="0"/>
          <w:numId w:val="2"/>
        </w:numPr>
        <w:spacing w:after="60"/>
      </w:pPr>
      <w:r>
        <w:t xml:space="preserve">Colour property NAMES in the code (teal, amber, rose, blue, mint, violet, orange, pink) were deliberately kept unchanged — only their hex VALUES were updated to the new palette. This means every existing chart’s colour reference throughout the file kept working without needing to hunt down and rename every call site.</w:t>
      </w:r>
    </w:p>
    <w:p>
      <w:pPr>
        <w:pStyle w:val="ListParagraph"/>
        <w:numPr>
          <w:ilvl w:val="0"/>
          <w:numId w:val="2"/>
        </w:numPr>
        <w:spacing w:after="60"/>
      </w:pPr>
      <w:r>
        <w:t xml:space="preserve">The revised template was run through the real publish_dashboard.py pipeline with real sample data before being finalised, confirming it still works end-to-end — not just visually inspected.</w:t>
      </w:r>
    </w:p>
    <w:p>
      <w:pPr>
        <w:pStyle w:val="Heading1"/>
        <w:spacing w:after="120" w:before="240"/>
      </w:pPr>
      <w:r>
        <w:t xml:space="preserve">5. Next Steps</w:t>
      </w:r>
    </w:p>
    <w:p>
      <w:pPr>
        <w:pStyle w:val="ListParagraph"/>
        <w:numPr>
          <w:ilvl w:val="0"/>
          <w:numId w:val="2"/>
        </w:numPr>
        <w:spacing w:after="60"/>
      </w:pPr>
      <w:r>
        <w:t xml:space="preserve">Run the pipeline against this new template to publish an updated dashboard: python run_myhealth_pipeline.py --template MyHealth_OECD_Dashboard_v7_REVISED.html</w:t>
      </w:r>
    </w:p>
    <w:p>
      <w:pPr>
        <w:pStyle w:val="ListParagraph"/>
        <w:numPr>
          <w:ilvl w:val="0"/>
          <w:numId w:val="2"/>
        </w:numPr>
        <w:spacing w:after="60"/>
      </w:pPr>
      <w:r>
        <w:t xml:space="preserve">Review the published result as a team — if it still feels cluttered, revisit the 3 deferred charts in Section 2.6.</w:t>
      </w:r>
    </w:p>
    <w:p>
      <w:pPr>
        <w:pStyle w:val="ListParagraph"/>
        <w:numPr>
          <w:ilvl w:val="0"/>
          <w:numId w:val="2"/>
        </w:numPr>
        <w:spacing w:after="60"/>
      </w:pPr>
      <w:r>
        <w:t xml:space="preserve">Team members doing the manual tidy-up: search the file for "270726 improvement review" to find every change in one pass.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2026-07-26T23:51:33.783Z</dcterms:created>
  <dcterms:modified xsi:type="dcterms:W3CDTF">2026-07-26T23:51:33.808Z</dcterms:modified>
</cp:coreProperties>
</file>

<file path=docProps/custom.xml><?xml version="1.0" encoding="utf-8"?>
<Properties xmlns="http://schemas.openxmlformats.org/officeDocument/2006/custom-properties" xmlns:vt="http://schemas.openxmlformats.org/officeDocument/2006/docPropsVTypes"/>
</file>