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MyHealth Analytics Dashboard</w:t>
      </w:r>
    </w:p>
    <w:p>
      <w:pPr>
        <w:pStyle w:val="Heading2"/>
        <w:spacing w:after="240"/>
      </w:pPr>
      <w:r>
        <w:t xml:space="preserve">Data Acquisition &amp; Pipeline Validation — Summary Report</w:t>
      </w:r>
    </w:p>
    <w:p>
      <w:pPr>
        <w:spacing w:after="120"/>
      </w:pPr>
      <w:r>
        <w:rPr>
          <w:i/>
          <w:iCs/>
          <w:sz w:val="18"/>
          <w:szCs w:val="18"/>
        </w:rPr>
        <w:t xml:space="preserve">Studio 6 · BITC01701 · Health Tech Innovators — outcome of the task: download live OECD/WHO source data, run myhealth_data_cleansing_pipeline.py against it, and report results.</w:t>
      </w:r>
    </w:p>
    <w:p>
      <w:pPr>
        <w:pStyle w:val="Heading1"/>
        <w:spacing w:after="120" w:before="240"/>
      </w:pPr>
      <w:r>
        <w:t xml:space="preserve">1. Bottom Line</w:t>
      </w:r>
    </w:p>
    <w:p>
      <w:pPr>
        <w:spacing w:after="120"/>
      </w:pPr>
      <w:r>
        <w:t xml:space="preserve">The live OECD and WHO endpoints were located and confirmed working. However, this sandboxed environment could not save their raw responses to disk — it has no outbound network access in its code execution tool, and its web-fetch tool cannot extract the binary/CSV payload types these APIs return. A ready-to-run script (fetch_myhealth_source_data.py) is provided so you can pull the real files from your own machine in under a minute. In the meantime, the actual cleansing pipeline was run end-to-end against structurally-accurate illustrative sample data, which surfaced and allowed us to fix a real bug in the pipeline before you run it against the full dataset.</w:t>
      </w:r>
    </w:p>
    <w:p>
      <w:pPr>
        <w:pStyle w:val="Heading1"/>
        <w:spacing w:after="120" w:before="240"/>
      </w:pPr>
      <w:r>
        <w:t xml:space="preserve">2. What Was Verified 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800"/>
      </w:tblGrid>
      <w:tr>
        <w:tc>
          <w:tcPr>
            <w:tcW w:type="dxa" w:w="2400"/>
            <w:shd w:fill="1F4E5F" w:val="clear"/>
          </w:tcPr>
          <w:p>
            <w:r>
              <w:rPr>
                <w:b/>
                <w:bCs/>
                <w:color w:val="FFFFFF"/>
                <w:sz w:val="19"/>
                <w:szCs w:val="19"/>
              </w:rPr>
              <w:t xml:space="preserve">Dataset</w:t>
            </w:r>
          </w:p>
        </w:tc>
        <w:tc>
          <w:tcPr>
            <w:tcW w:type="dxa" w:w="2800"/>
            <w:shd w:fill="1F4E5F" w:val="clear"/>
          </w:tcPr>
          <w:p>
            <w:r>
              <w:rPr>
                <w:b/>
                <w:bCs/>
                <w:color w:val="FFFFFF"/>
                <w:sz w:val="19"/>
                <w:szCs w:val="19"/>
              </w:rPr>
              <w:t xml:space="preserve">Endpoint</w:t>
            </w:r>
          </w:p>
        </w:tc>
        <w:tc>
          <w:tcPr>
            <w:tcW w:type="dxa" w:w="2200"/>
            <w:shd w:fill="1F4E5F" w:val="clear"/>
          </w:tcPr>
          <w:p>
            <w:r>
              <w:rPr>
                <w:b/>
                <w:bCs/>
                <w:color w:val="FFFFFF"/>
                <w:sz w:val="19"/>
                <w:szCs w:val="19"/>
              </w:rPr>
              <w:t xml:space="preserve">Response Type</w:t>
            </w:r>
          </w:p>
        </w:tc>
        <w:tc>
          <w:tcPr>
            <w:tcW w:type="dxa" w:w="1800"/>
            <w:shd w:fill="1F4E5F" w:val="clear"/>
          </w:tcPr>
          <w:p>
            <w:r>
              <w:rPr>
                <w:b/>
                <w:bCs/>
                <w:color w:val="FFFFFF"/>
                <w:sz w:val="19"/>
                <w:szCs w:val="19"/>
              </w:rPr>
              <w:t xml:space="preserve">Status</w:t>
            </w:r>
          </w:p>
        </w:tc>
      </w:tr>
      <w:tr>
        <w:tc>
          <w:tcPr>
            <w:tcW w:type="dxa" w:w="2400"/>
          </w:tcPr>
          <w:p>
            <w:r>
              <w:rPr>
                <w:b w:val="false"/>
                <w:bCs w:val="false"/>
                <w:sz w:val="19"/>
                <w:szCs w:val="19"/>
              </w:rPr>
              <w:t xml:space="preserve">OECD DF_HOSP_REAC (sibling dataset, used to verify the query pattern)</w:t>
            </w:r>
          </w:p>
        </w:tc>
        <w:tc>
          <w:tcPr>
            <w:tcW w:type="dxa" w:w="2800"/>
          </w:tcPr>
          <w:p>
            <w:r>
              <w:rPr>
                <w:b w:val="false"/>
                <w:bCs w:val="false"/>
                <w:sz w:val="19"/>
                <w:szCs w:val="19"/>
              </w:rPr>
              <w:t xml:space="preserve">sdmx.oecd.org/public/rest/data/...</w:t>
            </w:r>
          </w:p>
        </w:tc>
        <w:tc>
          <w:tcPr>
            <w:tcW w:type="dxa" w:w="2200"/>
          </w:tcPr>
          <w:p>
            <w:r>
              <w:rPr>
                <w:b w:val="false"/>
                <w:bCs w:val="false"/>
                <w:sz w:val="19"/>
                <w:szCs w:val="19"/>
              </w:rPr>
              <w:t xml:space="preserve">application/vnd.sdmx.data+csv</w:t>
            </w:r>
          </w:p>
        </w:tc>
        <w:tc>
          <w:tcPr>
            <w:tcW w:type="dxa" w:w="1800"/>
          </w:tcPr>
          <w:p>
            <w:r>
              <w:rPr>
                <w:b w:val="false"/>
                <w:bCs w:val="false"/>
                <w:sz w:val="19"/>
                <w:szCs w:val="19"/>
              </w:rPr>
              <w:t xml:space="preserve">Live, real data confirmed</w:t>
            </w:r>
          </w:p>
        </w:tc>
      </w:tr>
      <w:tr>
        <w:tc>
          <w:tcPr>
            <w:tcW w:type="dxa" w:w="2400"/>
          </w:tcPr>
          <w:p>
            <w:r>
              <w:rPr>
                <w:b w:val="false"/>
                <w:bCs w:val="false"/>
                <w:sz w:val="19"/>
                <w:szCs w:val="19"/>
              </w:rPr>
              <w:t xml:space="preserve">OECD DF_AGGR, DF_BEDS_FUNC, DF_HOSP_AV_LENGTH</w:t>
            </w:r>
          </w:p>
        </w:tc>
        <w:tc>
          <w:tcPr>
            <w:tcW w:type="dxa" w:w="2800"/>
          </w:tcPr>
          <w:p>
            <w:r>
              <w:rPr>
                <w:b w:val="false"/>
                <w:bCs w:val="false"/>
                <w:sz w:val="19"/>
                <w:szCs w:val="19"/>
              </w:rPr>
              <w:t xml:space="preserve">Same query pattern, applied to each dataset ID</w:t>
            </w:r>
          </w:p>
        </w:tc>
        <w:tc>
          <w:tcPr>
            <w:tcW w:type="dxa" w:w="2200"/>
          </w:tcPr>
          <w:p>
            <w:r>
              <w:rPr>
                <w:b w:val="false"/>
                <w:bCs w:val="false"/>
                <w:sz w:val="19"/>
                <w:szCs w:val="19"/>
              </w:rPr>
              <w:t xml:space="preserve">Not individually re-tested (tool limitation)</w:t>
            </w:r>
          </w:p>
        </w:tc>
        <w:tc>
          <w:tcPr>
            <w:tcW w:type="dxa" w:w="1800"/>
          </w:tcPr>
          <w:p>
            <w:r>
              <w:rPr>
                <w:b w:val="false"/>
                <w:bCs w:val="false"/>
                <w:sz w:val="19"/>
                <w:szCs w:val="19"/>
              </w:rPr>
              <w:t xml:space="preserve">Pattern verified, not each URL</w:t>
            </w:r>
          </w:p>
        </w:tc>
      </w:tr>
      <w:tr>
        <w:tc>
          <w:tcPr>
            <w:tcW w:type="dxa" w:w="2400"/>
          </w:tcPr>
          <w:p>
            <w:r>
              <w:rPr>
                <w:b w:val="false"/>
                <w:bCs w:val="false"/>
                <w:sz w:val="19"/>
                <w:szCs w:val="19"/>
              </w:rPr>
              <w:t xml:space="preserve">WHO GDHM export</w:t>
            </w:r>
          </w:p>
        </w:tc>
        <w:tc>
          <w:tcPr>
            <w:tcW w:type="dxa" w:w="2800"/>
          </w:tcPr>
          <w:p>
            <w:r>
              <w:rPr>
                <w:b w:val="false"/>
                <w:bCs w:val="false"/>
                <w:sz w:val="19"/>
                <w:szCs w:val="19"/>
              </w:rPr>
              <w:t xml:space="preserve">monitor.digitalhealthmonitor.org/api/export_global_data</w:t>
            </w:r>
          </w:p>
        </w:tc>
        <w:tc>
          <w:tcPr>
            <w:tcW w:type="dxa" w:w="2200"/>
          </w:tcPr>
          <w:p>
            <w:r>
              <w:rPr>
                <w:b w:val="false"/>
                <w:bCs w:val="false"/>
                <w:sz w:val="19"/>
                <w:szCs w:val="19"/>
              </w:rPr>
              <w:t xml:space="preserve">application/octet-stream</w:t>
            </w:r>
          </w:p>
        </w:tc>
        <w:tc>
          <w:tcPr>
            <w:tcW w:type="dxa" w:w="1800"/>
          </w:tcPr>
          <w:p>
            <w:r>
              <w:rPr>
                <w:b w:val="false"/>
                <w:bCs w:val="false"/>
                <w:sz w:val="19"/>
                <w:szCs w:val="19"/>
              </w:rPr>
              <w:t xml:space="preserve">Live, real response confirmed</w:t>
            </w:r>
          </w:p>
        </w:tc>
      </w:tr>
    </w:tbl>
    <w:p>
      <w:pPr>
        <w:spacing w:after="120"/>
      </w:pPr>
      <w:r>
        <w:t xml:space="preserve"/>
      </w:r>
    </w:p>
    <w:p>
      <w:pPr>
        <w:spacing w:after="120"/>
      </w:pPr>
      <w:r>
        <w:t xml:space="preserve">Both OECD Data Explorer pages (data-explorer.oecd.org) for DF_AGGR and DF_HOSP_AV_LENGTH are JavaScript-rendered apps that return no usable content without a real browser — this matches what was already noted in the earlier Dataset Sources &amp; Cleansing Spec document.</w:t>
      </w:r>
    </w:p>
    <w:p>
      <w:pPr>
        <w:pStyle w:val="Heading1"/>
        <w:spacing w:after="120" w:before="240"/>
      </w:pPr>
      <w:r>
        <w:t xml:space="preserve">3. Why the Raw Files Could Not Be Saved Here</w:t>
      </w:r>
    </w:p>
    <w:p>
      <w:pPr>
        <w:pStyle w:val="ListParagraph"/>
        <w:numPr>
          <w:ilvl w:val="0"/>
          <w:numId w:val="2"/>
        </w:numPr>
        <w:spacing w:after="60"/>
      </w:pPr>
      <w:r>
        <w:t xml:space="preserve">This environment's code execution sandbox has no outbound network access (confirmed in its configuration) — a Python script inside it cannot call requests.get() against an external server.</w:t>
      </w:r>
    </w:p>
    <w:p>
      <w:pPr>
        <w:pStyle w:val="ListParagraph"/>
        <w:numPr>
          <w:ilvl w:val="0"/>
          <w:numId w:val="2"/>
        </w:numPr>
        <w:spacing w:after="60"/>
      </w:pPr>
      <w:r>
        <w:t xml:space="preserve">Its separate web-fetch tool can retrieve external pages, but only surfaces plain-text/HTML content back to the conversation. The OECD API's "application/vnd.sdmx.data+csv" and WHO's "application/octet-stream" responses are both returned as an opaque "[binary data]" placeholder with no accessible bytes, even though the request itself succeeds.</w:t>
      </w:r>
    </w:p>
    <w:p>
      <w:pPr>
        <w:pStyle w:val="ListParagraph"/>
        <w:numPr>
          <w:ilvl w:val="0"/>
          <w:numId w:val="2"/>
        </w:numPr>
        <w:spacing w:after="60"/>
      </w:pPr>
      <w:r>
        <w:t xml:space="preserve">Net effect: the endpoints work, but no tool available in this conversation can move their response body onto disk here.</w:t>
      </w:r>
    </w:p>
    <w:p>
      <w:pPr>
        <w:pStyle w:val="Heading1"/>
        <w:spacing w:after="120" w:before="240"/>
      </w:pPr>
      <w:r>
        <w:t xml:space="preserve">4. What To Do Next (2 minutes, on your own machine)</w:t>
      </w:r>
    </w:p>
    <w:p>
      <w:pPr>
        <w:pStyle w:val="ListParagraph"/>
        <w:numPr>
          <w:ilvl w:val="0"/>
          <w:numId w:val="2"/>
        </w:numPr>
        <w:spacing w:after="60"/>
      </w:pPr>
      <w:r>
        <w:t xml:space="preserve">Download fetch_myhealth_source_data.py (provided alongside this report).</w:t>
      </w:r>
    </w:p>
    <w:p>
      <w:pPr>
        <w:pStyle w:val="ListParagraph"/>
        <w:numPr>
          <w:ilvl w:val="0"/>
          <w:numId w:val="2"/>
        </w:numPr>
        <w:spacing w:after="60"/>
      </w:pPr>
      <w:r>
        <w:t xml:space="preserve">Run: pip install requests</w:t>
      </w:r>
    </w:p>
    <w:p>
      <w:pPr>
        <w:pStyle w:val="ListParagraph"/>
        <w:numPr>
          <w:ilvl w:val="0"/>
          <w:numId w:val="2"/>
        </w:numPr>
        <w:spacing w:after="60"/>
      </w:pPr>
      <w:r>
        <w:t xml:space="preserve">Run: python fetch_myhealth_source_data.py --output-dir ./raw</w:t>
      </w:r>
    </w:p>
    <w:p>
      <w:pPr>
        <w:pStyle w:val="ListParagraph"/>
        <w:numPr>
          <w:ilvl w:val="0"/>
          <w:numId w:val="2"/>
        </w:numPr>
        <w:spacing w:after="60"/>
      </w:pPr>
      <w:r>
        <w:t xml:space="preserve">Run the existing pipeline: python myhealth_data_cleansing_pipeline.py --input-dir ./raw --output-dir ./clean</w:t>
      </w:r>
    </w:p>
    <w:p>
      <w:pPr>
        <w:pStyle w:val="ListParagraph"/>
        <w:numPr>
          <w:ilvl w:val="0"/>
          <w:numId w:val="2"/>
        </w:numPr>
        <w:spacing w:after="60"/>
      </w:pPr>
      <w:r>
        <w:t xml:space="preserve">If DF_AGGR or DF_HOSP_AV_LENGTH return an error, the OECD may have updated the dataset version tag — open the dataset on data-explorer.oecd.org, click the Developer API icon above the data table, and swap in the current query URL (the script has this fallback instruction built into its error message).</w:t>
      </w:r>
    </w:p>
    <w:p>
      <w:pPr>
        <w:pStyle w:val="ListParagraph"/>
        <w:numPr>
          <w:ilvl w:val="0"/>
          <w:numId w:val="2"/>
        </w:numPr>
        <w:spacing w:after="60"/>
      </w:pPr>
      <w:r>
        <w:t xml:space="preserve">Once you have the real /clean output files, you're welcome to upload them back here and I can validate row counts, check for outliers, and update the Data Quality &amp; Validation Report with real figures.</w:t>
      </w:r>
    </w:p>
    <w:p>
      <w:pPr>
        <w:pStyle w:val="Heading1"/>
        <w:spacing w:after="120" w:before="240"/>
      </w:pPr>
      <w:r>
        <w:t xml:space="preserve">5. Pipeline Validation — Bug Found and Fixed</w:t>
      </w:r>
    </w:p>
    <w:p>
      <w:pPr>
        <w:spacing w:after="120"/>
      </w:pPr>
      <w:r>
        <w:t xml:space="preserve">To confirm the pipeline itself is sound before you rely on it for real data, it was run against small illustrative sample files matching the exact OECD/WHO column schema (NOT real published figures — see Section 6). This surfaced a genuine bug: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000"/>
      </w:tblGrid>
      <w:tr>
        <w:tc>
          <w:tcPr>
            <w:tcW w:type="dxa" w:w="2200"/>
            <w:shd w:fill="1F4E5F" w:val="clear"/>
          </w:tcPr>
          <w:p>
            <w:r>
              <w:rPr>
                <w:b/>
                <w:bCs/>
                <w:color w:val="FFFFFF"/>
                <w:sz w:val="19"/>
                <w:szCs w:val="19"/>
              </w:rPr>
              <w:t xml:space="preserve">Location</w:t>
            </w:r>
          </w:p>
        </w:tc>
        <w:tc>
          <w:tcPr>
            <w:tcW w:type="dxa" w:w="5000"/>
            <w:shd w:fill="1F4E5F" w:val="clear"/>
          </w:tcPr>
          <w:p>
            <w:r>
              <w:rPr>
                <w:b/>
                <w:bCs/>
                <w:color w:val="FFFFFF"/>
                <w:sz w:val="19"/>
                <w:szCs w:val="19"/>
              </w:rPr>
              <w:t xml:space="preserve">Issue</w:t>
            </w:r>
          </w:p>
        </w:tc>
        <w:tc>
          <w:tcPr>
            <w:tcW w:type="dxa" w:w="2000"/>
            <w:shd w:fill="1F4E5F" w:val="clear"/>
          </w:tcPr>
          <w:p>
            <w:r>
              <w:rPr>
                <w:b/>
                <w:bCs/>
                <w:color w:val="FFFFFF"/>
                <w:sz w:val="19"/>
                <w:szCs w:val="19"/>
              </w:rPr>
              <w:t xml:space="preserve">Fix</w:t>
            </w:r>
          </w:p>
        </w:tc>
      </w:tr>
      <w:tr>
        <w:tc>
          <w:tcPr>
            <w:tcW w:type="dxa" w:w="2200"/>
            <w:shd w:fill="FCE8E8" w:val="clear"/>
          </w:tcPr>
          <w:p>
            <w:r>
              <w:rPr>
                <w:b w:val="false"/>
                <w:bCs w:val="false"/>
                <w:sz w:val="19"/>
                <w:szCs w:val="19"/>
              </w:rPr>
              <w:t xml:space="preserve">clean_hospital_aggregates(), column-name normalisation line</w:t>
            </w:r>
          </w:p>
        </w:tc>
        <w:tc>
          <w:tcPr>
            <w:tcW w:type="dxa" w:w="5000"/>
            <w:shd w:fill="FCE8E8" w:val="clear"/>
          </w:tcPr>
          <w:p>
            <w:r>
              <w:rPr>
                <w:b w:val="false"/>
                <w:bCs w:val="false"/>
                <w:sz w:val="19"/>
                <w:szCs w:val="19"/>
              </w:rPr>
              <w:t xml:space="preserve">OECD's actual measure label is "Bed-days" (hyphenated). The normalisation .replace(" ", "_") only handles spaces, so the column became "bed-days" instead of "bed_days". The pipeline's own check for "bed_days" then silently created an all-NaN column — meaning alos_recomputed and alos_variance_flag were 100% blank for every single row, defeating the entire cross-check this function exists to do.</w:t>
            </w:r>
          </w:p>
        </w:tc>
        <w:tc>
          <w:tcPr>
            <w:tcW w:type="dxa" w:w="2000"/>
            <w:shd w:fill="FCE8E8" w:val="clear"/>
          </w:tcPr>
          <w:p>
            <w:r>
              <w:rPr>
                <w:b w:val="false"/>
                <w:bCs w:val="false"/>
                <w:sz w:val="19"/>
                <w:szCs w:val="19"/>
              </w:rPr>
              <w:t xml:space="preserve">Added .replace("-", "_") alongside the existing space replacement. Verified: bed_days and alos_recomputed now populate correctly for 100% of rows in the sample run.</w:t>
            </w:r>
          </w:p>
        </w:tc>
      </w:tr>
    </w:tbl>
    <w:p>
      <w:pPr>
        <w:spacing w:after="120"/>
      </w:pPr>
      <w:r>
        <w:t xml:space="preserve"/>
      </w:r>
    </w:p>
    <w:p>
      <w:pPr>
        <w:spacing w:after="120"/>
      </w:pPr>
      <w:r>
        <w:rPr>
          <w:i/>
          <w:iCs/>
        </w:rPr>
        <w:t xml:space="preserve">This is exactly the kind of bug that stays invisible until real-shaped data is run through the code — the pipeline would have executed without error and silently produced a defective cross-validation column. The corrected script is attached; the version you were given previously should be replaced with it.</w:t>
      </w:r>
    </w:p>
    <w:p>
      <w:pPr>
        <w:pStyle w:val="Heading1"/>
        <w:spacing w:after="120" w:before="240"/>
      </w:pPr>
      <w:r>
        <w:t xml:space="preserve">6. Sample Data Used for This Validation (NOT official figures)</w:t>
      </w:r>
    </w:p>
    <w:p>
      <w:pPr>
        <w:spacing w:after="120"/>
      </w:pPr>
      <w:r>
        <w:t xml:space="preserve">Because the real files could not be pulled into this environment, the following illustrative sample was generated to exercise the pipeline. Values are directionally realistic (e.g. Japan and Korea have among the longest average hospital stays of OECD countries; Türkiye and the Nordics among the shortest) but are NOT the official published OECD/WHO statistics and must not be cited as such.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000"/>
      </w:tblGrid>
      <w:tr>
        <w:tc>
          <w:tcPr>
            <w:tcW w:type="dxa" w:w="3600"/>
            <w:shd w:fill="1F4E5F" w:val="clear"/>
          </w:tcPr>
          <w:p>
            <w:r>
              <w:rPr>
                <w:b/>
                <w:bCs/>
                <w:color w:val="FFFFFF"/>
                <w:sz w:val="19"/>
                <w:szCs w:val="19"/>
              </w:rPr>
              <w:t xml:space="preserve">File</w:t>
            </w:r>
          </w:p>
        </w:tc>
        <w:tc>
          <w:tcPr>
            <w:tcW w:type="dxa" w:w="1800"/>
            <w:shd w:fill="1F4E5F" w:val="clear"/>
          </w:tcPr>
          <w:p>
            <w:r>
              <w:rPr>
                <w:b/>
                <w:bCs/>
                <w:color w:val="FFFFFF"/>
                <w:sz w:val="19"/>
                <w:szCs w:val="19"/>
              </w:rPr>
              <w:t xml:space="preserve">Countries</w:t>
            </w:r>
          </w:p>
        </w:tc>
        <w:tc>
          <w:tcPr>
            <w:tcW w:type="dxa" w:w="1800"/>
            <w:shd w:fill="1F4E5F" w:val="clear"/>
          </w:tcPr>
          <w:p>
            <w:r>
              <w:rPr>
                <w:b/>
                <w:bCs/>
                <w:color w:val="FFFFFF"/>
                <w:sz w:val="19"/>
                <w:szCs w:val="19"/>
              </w:rPr>
              <w:t xml:space="preserve">Years</w:t>
            </w:r>
          </w:p>
        </w:tc>
        <w:tc>
          <w:tcPr>
            <w:tcW w:type="dxa" w:w="2000"/>
            <w:shd w:fill="1F4E5F" w:val="clear"/>
          </w:tcPr>
          <w:p>
            <w:r>
              <w:rPr>
                <w:b/>
                <w:bCs/>
                <w:color w:val="FFFFFF"/>
                <w:sz w:val="19"/>
                <w:szCs w:val="19"/>
              </w:rPr>
              <w:t xml:space="preserve">Rows</w:t>
            </w:r>
          </w:p>
        </w:tc>
      </w:tr>
      <w:tr>
        <w:tc>
          <w:tcPr>
            <w:tcW w:type="dxa" w:w="3600"/>
          </w:tcPr>
          <w:p>
            <w:r>
              <w:rPr>
                <w:b w:val="false"/>
                <w:bCs w:val="false"/>
                <w:sz w:val="19"/>
                <w:szCs w:val="19"/>
              </w:rPr>
              <w:t xml:space="preserve">OECD_HospitalAggregates_Discharges.csv (sample)</w:t>
            </w:r>
          </w:p>
        </w:tc>
        <w:tc>
          <w:tcPr>
            <w:tcW w:type="dxa" w:w="1800"/>
          </w:tcPr>
          <w:p>
            <w:r>
              <w:rPr>
                <w:b w:val="false"/>
                <w:bCs w:val="false"/>
                <w:sz w:val="19"/>
                <w:szCs w:val="19"/>
              </w:rPr>
              <w:t xml:space="preserve">10</w:t>
            </w:r>
          </w:p>
        </w:tc>
        <w:tc>
          <w:tcPr>
            <w:tcW w:type="dxa" w:w="1800"/>
          </w:tcPr>
          <w:p>
            <w:r>
              <w:rPr>
                <w:b w:val="false"/>
                <w:bCs w:val="false"/>
                <w:sz w:val="19"/>
                <w:szCs w:val="19"/>
              </w:rPr>
              <w:t xml:space="preserve">2015–2023</w:t>
            </w:r>
          </w:p>
        </w:tc>
        <w:tc>
          <w:tcPr>
            <w:tcW w:type="dxa" w:w="2000"/>
          </w:tcPr>
          <w:p>
            <w:r>
              <w:rPr>
                <w:b w:val="false"/>
                <w:bCs w:val="false"/>
                <w:sz w:val="19"/>
                <w:szCs w:val="19"/>
              </w:rPr>
              <w:t xml:space="preserve">270 raw → 90 clean</w:t>
            </w:r>
          </w:p>
        </w:tc>
      </w:tr>
      <w:tr>
        <w:tc>
          <w:tcPr>
            <w:tcW w:type="dxa" w:w="3600"/>
          </w:tcPr>
          <w:p>
            <w:r>
              <w:rPr>
                <w:b w:val="false"/>
                <w:bCs w:val="false"/>
                <w:sz w:val="19"/>
                <w:szCs w:val="19"/>
              </w:rPr>
              <w:t xml:space="preserve">OECDHospitalBeds.csv (sample)</w:t>
            </w:r>
          </w:p>
        </w:tc>
        <w:tc>
          <w:tcPr>
            <w:tcW w:type="dxa" w:w="1800"/>
          </w:tcPr>
          <w:p>
            <w:r>
              <w:rPr>
                <w:b w:val="false"/>
                <w:bCs w:val="false"/>
                <w:sz w:val="19"/>
                <w:szCs w:val="19"/>
              </w:rPr>
              <w:t xml:space="preserve">10</w:t>
            </w:r>
          </w:p>
        </w:tc>
        <w:tc>
          <w:tcPr>
            <w:tcW w:type="dxa" w:w="1800"/>
          </w:tcPr>
          <w:p>
            <w:r>
              <w:rPr>
                <w:b w:val="false"/>
                <w:bCs w:val="false"/>
                <w:sz w:val="19"/>
                <w:szCs w:val="19"/>
              </w:rPr>
              <w:t xml:space="preserve">2015–2023</w:t>
            </w:r>
          </w:p>
        </w:tc>
        <w:tc>
          <w:tcPr>
            <w:tcW w:type="dxa" w:w="2000"/>
          </w:tcPr>
          <w:p>
            <w:r>
              <w:rPr>
                <w:b w:val="false"/>
                <w:bCs w:val="false"/>
                <w:sz w:val="19"/>
                <w:szCs w:val="19"/>
              </w:rPr>
              <w:t xml:space="preserve">90 raw → 90 clean</w:t>
            </w:r>
          </w:p>
        </w:tc>
      </w:tr>
      <w:tr>
        <w:tc>
          <w:tcPr>
            <w:tcW w:type="dxa" w:w="3600"/>
          </w:tcPr>
          <w:p>
            <w:r>
              <w:rPr>
                <w:b w:val="false"/>
                <w:bCs w:val="false"/>
                <w:sz w:val="19"/>
                <w:szCs w:val="19"/>
              </w:rPr>
              <w:t xml:space="preserve">OECD_HospitalLengthstay.csv (sample)</w:t>
            </w:r>
          </w:p>
        </w:tc>
        <w:tc>
          <w:tcPr>
            <w:tcW w:type="dxa" w:w="1800"/>
          </w:tcPr>
          <w:p>
            <w:r>
              <w:rPr>
                <w:b w:val="false"/>
                <w:bCs w:val="false"/>
                <w:sz w:val="19"/>
                <w:szCs w:val="19"/>
              </w:rPr>
              <w:t xml:space="preserve">10</w:t>
            </w:r>
          </w:p>
        </w:tc>
        <w:tc>
          <w:tcPr>
            <w:tcW w:type="dxa" w:w="1800"/>
          </w:tcPr>
          <w:p>
            <w:r>
              <w:rPr>
                <w:b w:val="false"/>
                <w:bCs w:val="false"/>
                <w:sz w:val="19"/>
                <w:szCs w:val="19"/>
              </w:rPr>
              <w:t xml:space="preserve">2015–2023, 9 diagnoses</w:t>
            </w:r>
          </w:p>
        </w:tc>
        <w:tc>
          <w:tcPr>
            <w:tcW w:type="dxa" w:w="2000"/>
          </w:tcPr>
          <w:p>
            <w:r>
              <w:rPr>
                <w:b w:val="false"/>
                <w:bCs w:val="false"/>
                <w:sz w:val="19"/>
                <w:szCs w:val="19"/>
              </w:rPr>
              <w:t xml:space="preserve">810 raw → 630 clean</w:t>
            </w:r>
          </w:p>
        </w:tc>
      </w:tr>
      <w:tr>
        <w:tc>
          <w:tcPr>
            <w:tcW w:type="dxa" w:w="3600"/>
          </w:tcPr>
          <w:p>
            <w:r>
              <w:rPr>
                <w:b w:val="false"/>
                <w:bCs w:val="false"/>
                <w:sz w:val="19"/>
                <w:szCs w:val="19"/>
              </w:rPr>
              <w:t xml:space="preserve">WHO_GDHM_export.csv (sample)</w:t>
            </w:r>
          </w:p>
        </w:tc>
        <w:tc>
          <w:tcPr>
            <w:tcW w:type="dxa" w:w="1800"/>
          </w:tcPr>
          <w:p>
            <w:r>
              <w:rPr>
                <w:b w:val="false"/>
                <w:bCs w:val="false"/>
                <w:sz w:val="19"/>
                <w:szCs w:val="19"/>
              </w:rPr>
              <w:t xml:space="preserve">10</w:t>
            </w:r>
          </w:p>
        </w:tc>
        <w:tc>
          <w:tcPr>
            <w:tcW w:type="dxa" w:w="1800"/>
          </w:tcPr>
          <w:p>
            <w:r>
              <w:rPr>
                <w:b w:val="false"/>
                <w:bCs w:val="false"/>
                <w:sz w:val="19"/>
                <w:szCs w:val="19"/>
              </w:rPr>
              <w:t xml:space="preserve">2023</w:t>
            </w:r>
          </w:p>
        </w:tc>
        <w:tc>
          <w:tcPr>
            <w:tcW w:type="dxa" w:w="2000"/>
          </w:tcPr>
          <w:p>
            <w:r>
              <w:rPr>
                <w:b w:val="false"/>
                <w:bCs w:val="false"/>
                <w:sz w:val="19"/>
                <w:szCs w:val="19"/>
              </w:rPr>
              <w:t xml:space="preserve">10 raw → 10 clean</w:t>
            </w:r>
          </w:p>
        </w:tc>
      </w:tr>
      <w:tr>
        <w:tc>
          <w:tcPr>
            <w:tcW w:type="dxa" w:w="3600"/>
          </w:tcPr>
          <w:p>
            <w:r>
              <w:rPr>
                <w:b w:val="false"/>
                <w:bCs w:val="false"/>
                <w:sz w:val="19"/>
                <w:szCs w:val="19"/>
              </w:rPr>
              <w:t xml:space="preserve">oecd_country_metadata.csv (sample)</w:t>
            </w:r>
          </w:p>
        </w:tc>
        <w:tc>
          <w:tcPr>
            <w:tcW w:type="dxa" w:w="1800"/>
          </w:tcPr>
          <w:p>
            <w:r>
              <w:rPr>
                <w:b w:val="false"/>
                <w:bCs w:val="false"/>
                <w:sz w:val="19"/>
                <w:szCs w:val="19"/>
              </w:rPr>
              <w:t xml:space="preserve">10</w:t>
            </w:r>
          </w:p>
        </w:tc>
        <w:tc>
          <w:tcPr>
            <w:tcW w:type="dxa" w:w="1800"/>
          </w:tcPr>
          <w:p>
            <w:r>
              <w:rPr>
                <w:b w:val="false"/>
                <w:bCs w:val="false"/>
                <w:sz w:val="19"/>
                <w:szCs w:val="19"/>
              </w:rPr>
              <w:t xml:space="preserve">n/a</w:t>
            </w:r>
          </w:p>
        </w:tc>
        <w:tc>
          <w:tcPr>
            <w:tcW w:type="dxa" w:w="2000"/>
          </w:tcPr>
          <w:p>
            <w:r>
              <w:rPr>
                <w:b w:val="false"/>
                <w:bCs w:val="false"/>
                <w:sz w:val="19"/>
                <w:szCs w:val="19"/>
              </w:rPr>
              <w:t xml:space="preserve">10 raw → 10 clean</w:t>
            </w:r>
          </w:p>
        </w:tc>
      </w:tr>
    </w:tbl>
    <w:p>
      <w:pPr>
        <w:spacing w:after="120"/>
      </w:pPr>
      <w:r>
        <w:t xml:space="preserve"/>
      </w:r>
    </w:p>
    <w:p>
      <w:pPr>
        <w:spacing w:after="120"/>
      </w:pPr>
      <w:r>
        <w:t xml:space="preserve">Compare this to the PRD's real published row counts (~16,000 / 19,076 / 132,447 / 46 countries) — the sample here is deliberately a small fraction, sized only to prove the pipeline logic, not to substitute for the real dataset.</w:t>
      </w:r>
    </w:p>
    <w:p>
      <w:pPr>
        <w:pStyle w:val="Heading1"/>
        <w:spacing w:after="120" w:before="240"/>
      </w:pPr>
      <w:r>
        <w:t xml:space="preserve">7. Output Validation — Sample Run</w:t>
      </w:r>
    </w:p>
    <w:p>
      <w:pPr>
        <w:pStyle w:val="ListParagraph"/>
        <w:numPr>
          <w:ilvl w:val="0"/>
          <w:numId w:val="2"/>
        </w:numPr>
        <w:spacing w:after="60"/>
      </w:pPr>
      <w:r>
        <w:t xml:space="preserve">All 5 datasets processed with zero errors after the bed_days fix.</w:t>
      </w:r>
    </w:p>
    <w:p>
      <w:pPr>
        <w:pStyle w:val="ListParagraph"/>
        <w:numPr>
          <w:ilvl w:val="0"/>
          <w:numId w:val="2"/>
        </w:numPr>
        <w:spacing w:after="60"/>
      </w:pPr>
      <w:r>
        <w:t xml:space="preserve">Zero fully-null columns across all 5 output files (the pre-fix run had 3 fully-null columns in hospital_aggregates_clean.csv — bed_days, alos_recomputed, and an always-False alos_variance_flag).</w:t>
      </w:r>
    </w:p>
    <w:p>
      <w:pPr>
        <w:pStyle w:val="ListParagraph"/>
        <w:numPr>
          <w:ilvl w:val="0"/>
          <w:numId w:val="2"/>
        </w:numPr>
        <w:spacing w:after="60"/>
      </w:pPr>
      <w:r>
        <w:t xml:space="preserve">Row counts matched expectations: 90 country-year rows for aggregates and beds, 630 country-year-diagnosis rows for diagnostic ALOS (after dropping "Total" and "Not elsewhere classified" rows, exactly as specified), 10 rows each for WHO GDHM and country metadata.</w:t>
      </w:r>
    </w:p>
    <w:p>
      <w:pPr>
        <w:pStyle w:val="ListParagraph"/>
        <w:numPr>
          <w:ilvl w:val="0"/>
          <w:numId w:val="2"/>
        </w:numPr>
        <w:spacing w:after="60"/>
      </w:pPr>
      <w:r>
        <w:t xml:space="preserve">z-scores in the WHO GDHM output are correctly centred (mean ≈ 0) and scaled to the 10-country sample’s own spread — as expected, since z-scores are always relative to the population they’re computed over; the real 46-country run will produce different absolute z-scores than this 10-country sample.</w:t>
      </w:r>
    </w:p>
    <w:p>
      <w:pPr>
        <w:pStyle w:val="Heading1"/>
        <w:spacing w:after="120" w:before="240"/>
      </w:pPr>
      <w:r>
        <w:t xml:space="preserve">8. Files Delivered With This Report</w:t>
      </w:r>
    </w:p>
    <w:p>
      <w:pPr>
        <w:pStyle w:val="ListParagraph"/>
        <w:numPr>
          <w:ilvl w:val="0"/>
          <w:numId w:val="2"/>
        </w:numPr>
        <w:spacing w:after="60"/>
      </w:pPr>
      <w:r>
        <w:t xml:space="preserve">fetch_myhealth_source_data.py — run this locally to get the real OECD/WHO files.</w:t>
      </w:r>
    </w:p>
    <w:p>
      <w:pPr>
        <w:pStyle w:val="ListParagraph"/>
        <w:numPr>
          <w:ilvl w:val="0"/>
          <w:numId w:val="2"/>
        </w:numPr>
        <w:spacing w:after="60"/>
      </w:pPr>
      <w:r>
        <w:t xml:space="preserve">myhealth_data_cleansing_pipeline_FIXED.py — the corrected pipeline (bed_days bug fixed); use this version going forward.</w:t>
      </w:r>
    </w:p>
    <w:p>
      <w:pPr>
        <w:pStyle w:val="ListParagraph"/>
        <w:numPr>
          <w:ilvl w:val="0"/>
          <w:numId w:val="2"/>
        </w:numPr>
        <w:spacing w:after="60"/>
      </w:pPr>
      <w:r>
        <w:t xml:space="preserve">generate_sample_source_data.py — the illustrative sample generator, included for transparency/reproducibility of this validation.</w:t>
      </w:r>
    </w:p>
    <w:p>
      <w:pPr>
        <w:pStyle w:val="ListParagraph"/>
        <w:numPr>
          <w:ilvl w:val="0"/>
          <w:numId w:val="2"/>
        </w:numPr>
        <w:spacing w:after="60"/>
      </w:pPr>
      <w:r>
        <w:t xml:space="preserve">sample_raw/ — the 5 illustrative raw input files used for this test run.</w:t>
      </w:r>
    </w:p>
    <w:p>
      <w:pPr>
        <w:pStyle w:val="ListParagraph"/>
        <w:numPr>
          <w:ilvl w:val="0"/>
          <w:numId w:val="2"/>
        </w:numPr>
        <w:spacing w:after="60"/>
      </w:pPr>
      <w:r>
        <w:t xml:space="preserve">sample_clean/ — the 5 corresponding output files (CSV + JSON) the fixed pipeline produced.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2026-07-21T03:54:13.112Z</dcterms:created>
  <dcterms:modified xsi:type="dcterms:W3CDTF">2026-07-21T03:54:13.131Z</dcterms:modified>
</cp:coreProperties>
</file>

<file path=docProps/custom.xml><?xml version="1.0" encoding="utf-8"?>
<Properties xmlns="http://schemas.openxmlformats.org/officeDocument/2006/custom-properties" xmlns:vt="http://schemas.openxmlformats.org/officeDocument/2006/docPropsVTypes"/>
</file>