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Serif" w:cs="Roboto Serif" w:eastAsia="Roboto Serif" w:hAnsi="Roboto Serif"/>
          <w:sz w:val="28"/>
          <w:szCs w:val="28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u w:val="single"/>
          <w:rtl w:val="0"/>
        </w:rPr>
        <w:t xml:space="preserve">Продолжение анализа “Серенький дымок” Vs “Серый дом”</w:t>
      </w:r>
    </w:p>
    <w:p w:rsidR="00000000" w:rsidDel="00000000" w:rsidP="00000000" w:rsidRDefault="00000000" w:rsidRPr="00000000" w14:paraId="00000002">
      <w:pPr>
        <w:rPr>
          <w:rFonts w:ascii="Roboto Serif" w:cs="Roboto Serif" w:eastAsia="Roboto Serif" w:hAnsi="Roboto Seri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Если мы обратимся к данным НКРЯ, сравнивая два запроса: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Запрос 1</w:t>
      </w: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br w:type="textWrapping"/>
        <w:t xml:space="preserve">Слово 1: gr:A &amp; (t:physq:color) &amp; (d:dim) </w:t>
        <w:br w:type="textWrapping"/>
        <w:t xml:space="preserve">Слово 2: gr:S &amp; r:concr &amp; (d:dim)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Serif" w:cs="Roboto Serif" w:eastAsia="Roboto Serif" w:hAnsi="Roboto Serif"/>
          <w:b w:val="1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4"/>
          <w:szCs w:val="24"/>
          <w:rtl w:val="0"/>
        </w:rPr>
        <w:t xml:space="preserve">Запрос 2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Слово 1: gr:A &amp; (t:physq:color) &amp; -(d:dim)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Слово 2: gr:S &amp; r:concr &amp; -(d:dim)</w:t>
      </w:r>
    </w:p>
    <w:p w:rsidR="00000000" w:rsidDel="00000000" w:rsidP="00000000" w:rsidRDefault="00000000" w:rsidRPr="00000000" w14:paraId="00000008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мы можем сделать выводы, что: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Запрос 2 в НКРЯ иногда выдаёт 2-граммы, которые не совсем подходят. Вероятно это связано с особенностями употребления отдельных слов, чего нельзя встретить в Запросе 1.</w:t>
        <w:br w:type="textWrapping"/>
        <w:t xml:space="preserve">Например: холодный &amp; вода (из-за контекстов, где, например, есть “холодный свет”); лимонный &amp; сок (из-за контекстов вроде “лимонная футболка) и др. (см. стр. Частотность)</w:t>
        <w:br w:type="textWrapping"/>
        <w:t xml:space="preserve">При этом такого не было в результатах на Запрос 1. Это связано с тем, что диминутивы чаще всего не образовываются от прилагательных, образованных от существительных.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Если посмотреть на сочетаемость прилагательных с существительными, то можно заметить, что диминутивные прил. довольно часто становятся определениями для сущ., которые обозначают людей, живых существ, а также части тела. (см. стр. Маленькая частотность) </w:t>
        <w:br w:type="textWrapping"/>
        <w:t xml:space="preserve">Например: беленький &amp; ручка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Serif" w:cs="Roboto Serif" w:eastAsia="Roboto Serif" w:hAnsi="Roboto Serif"/>
          <w:sz w:val="24"/>
          <w:szCs w:val="24"/>
        </w:rPr>
      </w:pPr>
      <w:r w:rsidDel="00000000" w:rsidR="00000000" w:rsidRPr="00000000">
        <w:rPr>
          <w:rFonts w:ascii="Roboto Serif" w:cs="Roboto Serif" w:eastAsia="Roboto Serif" w:hAnsi="Roboto Serif"/>
          <w:sz w:val="24"/>
          <w:szCs w:val="24"/>
          <w:rtl w:val="0"/>
        </w:rPr>
        <w:t xml:space="preserve">С помощью НКРЯ также был произведен анализ жанров, в которых встречаются такие 2-граммы. </w:t>
        <w:br w:type="textWrapping"/>
        <w:t xml:space="preserve">2-граммы dem+dem встречаются часто в детских произведениях и в документальных (смею предположить, что документальные произведения также бывают рассчитаны на детей). Что интересно, такие 2-граммы редко встречаются в переводе, а фольклор вообще не вошёл в статистику (см. стр. Жанрики).</w:t>
        <w:br w:type="textWrapping"/>
        <w:t xml:space="preserve">2 граммы -dem+-dem встречаются часто в исторической и документальной прозе, что можно объяснить наличием различных устойчивых выражений и географических названий (Красная армия, чёрное море и др.) (см. стр. Жанры).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