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07</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FirstParagraph"/>
      </w:pPr>
      <w:r>
        <w:t xml:space="preserve">Since the 19th century, the focus of archaeological interest lay on the central part of the Irrawaddy River in central Myanmar. The first artefacts were discovered by Morris in 1930 in Upper Myanmar and later assigned to the “new” Anyathian culture from the Lower Palaeolithic in Southeast Asia. The Anyathian artefacts are mainly not found in situ but in the secondary deposits of the Pleistocene terrace gravels of the Irrawaddy River. The occurrence of only few handaxes is one main characteristic of the Anyanthian culture.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The three phases of the Early Anyathian are all dominated by a high degree of uniformity of the stone tools, probably due to raw material constraints (fossil wood and silicified tuff).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display a limited range of tools, including mostly handaxes, as well as choppers and chopping tools. Generally, stone tools made of silicified tuff are more massive than tools made from fossil wood. Choppers are dominant, whereas there are few handaxes</w:t>
      </w:r>
      <w:r>
        <w:t xml:space="preserve"> </w:t>
      </w:r>
      <w:r>
        <w:t xml:space="preserve">(Hellmut de Terra 1943)</w:t>
      </w:r>
      <w:r>
        <w:t xml:space="preserve">.</w:t>
      </w:r>
    </w:p>
    <w:p>
      <w:pPr>
        <w:pStyle w:val="BodyText"/>
      </w:pPr>
      <w:r>
        <w:t xml:space="preserve">In addition, 23 early Anyathian artefacts were found in situ in the lateritic gravel and gravel deposits of terrace 1 near Chauk on the Hill of Chinaungma. Movius (1943) assigned these implements to the first phase of the Early Anyathian and the beginning of the Middle Pleistocene as the oldest human artefacts found in the Irrawaddy Valley. Implements of phase 2 of the Early Anyathian show either a ferruginous crust, or are heavily rolled. The former implies an occupation of this area during the forming of the crust in a long interpluvial period. The latter suggests that these implements were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Instead of assigning stone tools to certain technologies made by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are investigated in modern quaternary science</w:t>
      </w:r>
      <w:r>
        <w:t xml:space="preserve"> </w:t>
      </w:r>
      <w:r>
        <w:t xml:space="preserve">(Brumm and Moore 2012; Dennell 2016; Norton and Bae 2008; Norton et al. 2006; Petraglia and Shipton 2008; Schick 1994)</w:t>
      </w:r>
      <w:r>
        <w:t xml:space="preserve">, including constraints on raw material, demographic and social transmission, environmental changes and dispersal routes.</w:t>
      </w:r>
    </w:p>
    <w:p>
      <w:pPr>
        <w:pStyle w:val="BodyText"/>
      </w:pPr>
      <w:r>
        <w:t xml:space="preserve">The use of stone tools may have been influenced by certain situations, tasks or individuals. Consequently, different members of a group or different groups could have used bifaces rarely, never or only at specific events or times. Thus, the absence of bifaces or an item in general does not mean that the hominin living in this area at this time was not able to produce such a tool</w:t>
      </w:r>
      <w:r>
        <w:t xml:space="preserve"> </w:t>
      </w:r>
      <w:r>
        <w:t xml:space="preserve">(Dennell 2016)</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p>
    <w:p>
      <w:pPr>
        <w:pStyle w:val="BodyText"/>
      </w:pPr>
      <w:r>
        <w:t xml:space="preserve">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 However, even though bamboo cutting marks on bones can be distinguished from other cutting marks, there have been no findings of such so far</w:t>
      </w:r>
      <w:r>
        <w:t xml:space="preserve"> </w:t>
      </w:r>
      <w:r>
        <w:t xml:space="preserve">(Lycett and Bae 2010)</w:t>
      </w:r>
      <w:r>
        <w:t xml:space="preserve">.</w:t>
      </w:r>
    </w:p>
    <w:p>
      <w:pPr>
        <w:pStyle w:val="BodyText"/>
      </w:pPr>
      <w:r>
        <w:t xml:space="preserve">The dispersal route of early modern humans from Africa to Asia and Australia is still debated among quaternary scientists. 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w:t>
      </w:r>
      <w:r>
        <w:t xml:space="preserve">. This route matches with some Middle Pleistocene archaeological sites in Africa, India (e.g. Borra, the Kokan Complex and the Hiran Valley) and SE Asia adjacent to coastal regions. Of particular importance are the deposits at the Hiran Valley since they have been dated to 56-69ka, matching the proposed time for the Southern Dispersal.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 QUELLE.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elaborate tool making techniques</w:t>
      </w:r>
      <w:r>
        <w:t xml:space="preserve"> </w:t>
      </w:r>
      <w:r>
        <w:t xml:space="preserve">(Lycett and Norton 2010; Lycett 2007b)</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In contrary to Mode I technology, these stone tools show a degree of standardization</w:t>
      </w:r>
      <w:r>
        <w:t xml:space="preserve"> </w:t>
      </w:r>
      <w:r>
        <w:t xml:space="preserve">(Norton et al. 2006)</w:t>
      </w:r>
      <w:r>
        <w:t xml:space="preserve"> </w:t>
      </w:r>
      <w:r>
        <w:t xml:space="preserve">and were the main tools used by hominins during the Pleistocene</w:t>
      </w:r>
      <w:r>
        <w:t xml:space="preserve"> </w:t>
      </w:r>
      <w:r>
        <w:t xml:space="preserve">(Petraglia and Shipton 2008)</w:t>
      </w:r>
      <w:r>
        <w:t xml:space="preserve">. The tools include handaxes, cleavers, picks, knives, lanceolates and unifaces</w:t>
      </w:r>
      <w:r>
        <w:t xml:space="preserve"> </w:t>
      </w:r>
      <w:r>
        <w:t xml:space="preserve">(Brumm and Moore 2012)</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i.e. the assignment of finds can be influenced by the finding location east or west of the Movius Line QUELLE. Also, bifaces are not suitable as a time marker for specific cultures as they have been produced in different parts of the world over several 100 ka</w:t>
      </w:r>
      <w:r>
        <w:t xml:space="preserve"> </w:t>
      </w:r>
      <w:r>
        <w:t xml:space="preserve">(Dennell 2016)</w:t>
      </w:r>
      <w:r>
        <w:t xml:space="preserve">.</w:t>
      </w:r>
    </w:p>
    <w:p>
      <w:pPr>
        <w:pStyle w:val="BodyText"/>
      </w:pPr>
      <w:r>
        <w:t xml:space="preserve">Dennell is one of the more recent critics of the concept of the Movius Line. In his analysis of Movius’ publications, he describes their views as “backwards”, “ancient” and “eurocentric”</w:t>
      </w:r>
      <w:r>
        <w:t xml:space="preserve"> </w:t>
      </w:r>
      <w:r>
        <w:t xml:space="preserve">(Dennell 2016)</w:t>
      </w:r>
      <w:r>
        <w:t xml:space="preserve">. The drawing of a line to mark difference in stone tool production between SE and SW/W Asia neglects the variety and complexity of lithic assemblages on either side of the line, leaving East Asia in a minor position in human evolution. According to Dennell, none of the material found by Movius and his colleagues has a stratigraphic context and they failed to identify a sequence of four terraces along the Irrawaddy River from the Middle to Upper Pleistocene. Furthermore, because of the finding context, his finds cannot be connected to other Middle Pleistocene Acheulean assemblages in Southwest Asia</w:t>
      </w:r>
      <w:r>
        <w:t xml:space="preserve"> </w:t>
      </w:r>
      <w:r>
        <w:t xml:space="preserve">(Dennell 2016)</w:t>
      </w:r>
      <w:r>
        <w:t xml:space="preserve">.</w:t>
      </w:r>
    </w:p>
    <w:p>
      <w:pPr>
        <w:pStyle w:val="Heading2"/>
      </w:pPr>
      <w:bookmarkStart w:id="25" w:name="survey-data"/>
      <w:bookmarkEnd w:id="25"/>
      <w:r>
        <w:t xml:space="preserve">Survey data</w:t>
      </w:r>
    </w:p>
    <w:p>
      <w:pPr>
        <w:pStyle w:val="Compact"/>
        <w:numPr>
          <w:numId w:val="1002"/>
          <w:ilvl w:val="0"/>
        </w:numPr>
      </w:pPr>
      <w:r>
        <w:t xml:space="preserve">our landscape observations</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6" w:name="formation-of-the-terraces-and-archaeological-contexts"/>
      <w:bookmarkEnd w:id="26"/>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27" w:name="conclusion"/>
      <w:bookmarkEnd w:id="27"/>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8">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29" w:name="including-plots"/>
      <w:bookmarkEnd w:id="29"/>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1" w:name="citations-and-references"/>
      <w:bookmarkEnd w:id="31"/>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2">
        <w:r>
          <w:rPr>
            <w:rStyle w:val="Hyperlink"/>
          </w:rPr>
          <w:t xml:space="preserve">http://rmarkdown.rstudio.com/authoring_bibliographies_and_citations.html</w:t>
        </w:r>
      </w:hyperlink>
    </w:p>
    <w:p>
      <w:pPr>
        <w:pStyle w:val="Heading2"/>
      </w:pPr>
      <w:bookmarkStart w:id="33" w:name="colophon"/>
      <w:bookmarkEnd w:id="33"/>
      <w:r>
        <w:t xml:space="preserve">Colophon</w:t>
      </w:r>
    </w:p>
    <w:p>
      <w:pPr>
        <w:pStyle w:val="FirstParagraph"/>
      </w:pPr>
      <w:r>
        <w:t xml:space="preserve">This report was generated on 2016-10-07 09:44:06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4" w:name="references"/>
      <w:bookmarkEnd w:id="34"/>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5">
        <w:r>
          <w:rPr>
            <w:rStyle w:val="Hyperlink"/>
          </w:rPr>
          <w:t xml:space="preserve">http://www.jstor.org/stable/1005586</w:t>
        </w:r>
      </w:hyperlink>
      <w:r>
        <w:t xml:space="preserve">.</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d4d4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3e1a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8" Target="http://rmarkdown.rstudio.com" TargetMode="External" /><Relationship Type="http://schemas.openxmlformats.org/officeDocument/2006/relationships/hyperlink" Id="rId32" Target="http://rmarkdown.rstudio.com/authoring_bibliographies_and_citations.html" TargetMode="External" /><Relationship Type="http://schemas.openxmlformats.org/officeDocument/2006/relationships/hyperlink" Id="rId35"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28" Target="http://rmarkdown.rstudio.com" TargetMode="External" /><Relationship Type="http://schemas.openxmlformats.org/officeDocument/2006/relationships/hyperlink" Id="rId32" Target="http://rmarkdown.rstudio.com/authoring_bibliographies_and_citations.html" TargetMode="External" /><Relationship Type="http://schemas.openxmlformats.org/officeDocument/2006/relationships/hyperlink" Id="rId35"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2016-10-06T22:44:09Z</dcterms:created>
  <dcterms:modified xsi:type="dcterms:W3CDTF">2016-10-06T22:44:09Z</dcterms:modified>
</cp:coreProperties>
</file>