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04</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 [e.g.</w:t>
      </w:r>
      <w:r>
        <w:t xml:space="preserve"> </w:t>
      </w:r>
      <w:r>
        <w:t xml:space="preserve">Thein, Tint, and Aung (1991)</w:t>
      </w:r>
      <w:r>
        <w:t xml:space="preserve">; maung1987transcurrent]. The Shan scarp is a topographic discontinuity that marks the boundary of the central plains and the Shan plateau to the east, a region with an average elevation of 1000 m and large variations of elevation over short distances (up to 1800 m over a few kilometers) [</w:t>
      </w:r>
      <w:r>
        <w:t xml:space="preserve">Bertrand et al. (2001)</w:t>
      </w:r>
      <w:r>
        <w:t xml:space="preserve">; bertrand2003tectonics].</w:t>
      </w:r>
    </w:p>
    <w:p>
      <w:pPr>
        <w:pStyle w:val="Heading2"/>
      </w:pPr>
      <w:bookmarkStart w:id="23" w:name="geomorphology-of-the-irrawady-terraces"/>
      <w:bookmarkEnd w:id="23"/>
      <w:r>
        <w:t xml:space="preserve">Geomorphology of the Irrawady terraces</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Compact"/>
        <w:numPr>
          <w:numId w:val="1002"/>
          <w:ilvl w:val="0"/>
        </w:numPr>
      </w:pPr>
      <w:r>
        <w:t xml:space="preserve">Movius and contemporaries</w:t>
      </w:r>
    </w:p>
    <w:p>
      <w:pPr>
        <w:pStyle w:val="Heading1"/>
      </w:pPr>
      <w:bookmarkStart w:id="25" w:name="dennell-is-a-major-commentator-recently"/>
      <w:bookmarkEnd w:id="25"/>
      <w:r>
        <w:t xml:space="preserve">Dennell is a major commentator recently</w:t>
      </w:r>
    </w:p>
    <w:p>
      <w:pPr>
        <w:pStyle w:val="FirstParagraph"/>
      </w:pPr>
      <w:r>
        <w:t xml:space="preserve">Dennell is one of the more recent critics of the concept of the Movius Line. In his analysis of Movius’ publications, he describes their views as “backwards”, “ancient” and “eurocentric”</w:t>
      </w:r>
      <w:r>
        <w:t xml:space="preserve"> </w:t>
      </w:r>
      <w:r>
        <w:t xml:space="preserve">(</w:t>
      </w:r>
      <w:r>
        <w:rPr>
          <w:b/>
        </w:rPr>
        <w:t xml:space="preserve">???</w:t>
      </w:r>
      <w:r>
        <w:t xml:space="preserve">)</w:t>
      </w:r>
      <w:r>
        <w:t xml:space="preserve">. The drawing of a line to mark difference in stone tool production between SE and SW/W Asia neglects the variety and complexity of lithic assemblages on either side of the line, leaving East Asia in a minor position in human evolution. According to Dennell, none of the material found by Movius and his colleagues has a stratigraphic context and they failed to identify a sequence of four terraces along the Irrawaddy River from the Middle to Upper Pleistocene. Furthermore, because of the finding context, his finds cannot be connected to other Middle Pleistocene Acheulean assemblages in Southwest Asia (Dennell, 2016).</w:t>
      </w:r>
      <w:r>
        <w:t xml:space="preserve"> </w:t>
      </w:r>
      <w:r>
        <w:t xml:space="preserve">In contrast to Dennell’s views, Norton et al. (2006) 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 (Norton et al., 2006; Norton &amp; Bae, 2008).</w:t>
      </w:r>
      <w:r>
        <w:t xml:space="preserve"> </w:t>
      </w:r>
      <w:r>
        <w:t xml:space="preserve">Instead of assigning stone tools to certain technologies made by different groups of early humans, and making implications about their abilities to produce stone tools, acknowledging the spatial and temporal diversity of lithic records in Eurasia is necessary</w:t>
      </w:r>
      <w:r>
        <w:t xml:space="preserve"> </w:t>
      </w:r>
      <w:r>
        <w:t xml:space="preserve">(</w:t>
      </w:r>
      <w:r>
        <w:rPr>
          <w:b/>
        </w:rPr>
        <w:t xml:space="preserve">???</w:t>
      </w:r>
      <w:r>
        <w:t xml:space="preserve">)</w:t>
      </w:r>
      <w:r>
        <w:t xml:space="preserve">. Reasons for the lack of Acheulean technology are investigated in modern quaternary science (Brumm &amp; Moore, 2012;</w:t>
      </w:r>
      <w:r>
        <w:t xml:space="preserve"> </w:t>
      </w:r>
      <w:r>
        <w:t xml:space="preserve">(</w:t>
      </w:r>
      <w:r>
        <w:rPr>
          <w:b/>
        </w:rPr>
        <w:t xml:space="preserve">???</w:t>
      </w:r>
      <w:r>
        <w:t xml:space="preserve">)</w:t>
      </w:r>
      <w:r>
        <w:t xml:space="preserve">; Norton &amp; Bae, 2008; Norton, Bae, Harris, &amp; Lee, 2006; Petraglia &amp; Shipton, 2008; Schick, 1994), including constraints on raw material, demographic and social transmission, environmental changes and dispersal routes.</w:t>
      </w:r>
      <w:r>
        <w:t xml:space="preserve"> </w:t>
      </w:r>
      <w:r>
        <w:t xml:space="preserve">The use of stone tools may have been influenced by certain situations, tasks or individuals. Consequently, different members of a group or different groups could have used bifaces rarely, never or only at specific events or times. Thus, the absence of bifaces or an item in general does not mean that the hominin living in this area at this time was not able to produce such a tool</w:t>
      </w:r>
      <w:r>
        <w:t xml:space="preserve"> </w:t>
      </w:r>
      <w:r>
        <w:t xml:space="preserve">(</w:t>
      </w:r>
      <w:r>
        <w:rPr>
          <w:b/>
        </w:rPr>
        <w:t xml:space="preserve">???</w:t>
      </w:r>
      <w:r>
        <w:t xml:space="preserve">)</w:t>
      </w:r>
      <w:r>
        <w:t xml:space="preserve">.</w:t>
      </w:r>
    </w:p>
    <w:p>
      <w:pPr>
        <w:pStyle w:val="BodyText"/>
      </w:pPr>
      <w:r>
        <w:t xml:space="preserve">Raw Material</w:t>
      </w:r>
    </w:p>
    <w:p>
      <w:pPr>
        <w:pStyle w:val="BodyText"/>
      </w:pPr>
      <w:r>
        <w:t xml:space="preserve">Movius (1944) stated that the raw material used east of the Movius Line was often of low quality quartz and quartzite that would prevent the production of the same kind of bifaces (Dennell, 2016; Lycett &amp; Bae, 2010). However, handaxes from Zhoukoudian Locality 1, Chongokni and Kumpari (China) are bifacially worked and are made of quartz and quartzite river cobbles from this area (Lycett &amp; Bae, 2010).</w:t>
      </w:r>
    </w:p>
    <w:p>
      <w:pPr>
        <w:pStyle w:val="BodyText"/>
      </w:pPr>
      <w:r>
        <w:t xml:space="preserve">Environmental Changes</w:t>
      </w:r>
    </w:p>
    <w:p>
      <w:pPr>
        <w:pStyle w:val="BodyText"/>
      </w:pPr>
      <w:r>
        <w:t xml:space="preserve">Whilst colonizing East Asia, early modern humans encountered barriers such as mountain ranges, river deltas, oceans and deserts that provide a range of resources (e.g. water, food, shelter) (Lycett &amp; Bae, 2010). However, the environment during the Middle Pleistocene was challenging in terms of changing climatic conditions and accompanying biogeographic transitions (Bar-Yosef &amp; Belfer-Cohen, 2001; Field &amp; Lahr, 2006; Lycett &amp; Bae, 2010; Schick, 1994).</w:t>
      </w:r>
    </w:p>
    <w:p>
      <w:pPr>
        <w:pStyle w:val="BodyText"/>
      </w:pPr>
      <w:r>
        <w:t xml:space="preserve">There may have been no need for intensive stone tool production, or a different material was used at some point. This theory is known as the “bamboo hypothesis” (Field &amp; Lahr, 2006; Lycett &amp; Bae, 2010; Schick, 1994) and states that early modern humans used bamboo instead of stones to make tools (Schick, 1994) leaving behind no archaeological record (Lycett &amp; Bae, 2010). However, even though bamboo cutting marks on bones can be distinguished from other cutting marks, there have been no findings of such so far (Lycett &amp; Bae, 2010).</w:t>
      </w:r>
    </w:p>
    <w:p>
      <w:pPr>
        <w:pStyle w:val="BodyText"/>
      </w:pPr>
      <w:r>
        <w:t xml:space="preserve">Dispersal routes</w:t>
      </w:r>
    </w:p>
    <w:p>
      <w:pPr>
        <w:pStyle w:val="BodyText"/>
      </w:pPr>
      <w:r>
        <w:t xml:space="preserve">The dispersal route of early modern humans from Africa to Asia and Australia is still debated among quaternary scientists. Based on GIS analyses, Field &amp; Lahr (2006) and Field et al. (2007) identified possible routes from Africa leading eastwards along the coasts to Asia and eventually via the Sunda Shelf to Australia. This “Southern Dispersal Route” is dated to around 75-60ka (Field &amp; Lahr, 2006; Field, Petraglia, &amp; Lahr, 2006; Clarkson et al., 2011; Macaulay et al., 2005). This route matches with some Middle Pleistocene archaeological sites in Africa, India (e.g. Borra, the Kokan Complex and the Hiran Valley) and SE Asia adjacent to coastal regions. Of particular importance are the deposits at the Hiran Valley since they have been dated to 56-69ka, matching the proposed time for the Southern Dispersal.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 QUELLE.</w:t>
      </w:r>
    </w:p>
    <w:p>
      <w:pPr>
        <w:pStyle w:val="BodyText"/>
      </w:pPr>
      <w:r>
        <w:t xml:space="preserve">Demographic and social transmission</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 (Lycett &amp; Bae, 2010; Lycett &amp; Norton, 2010; Lycett, 2007). Given the colonization of the whole of East Asia and the distance to Africa decreasing the population size, the population density may have been too low to maintain or establish more elaborate tool making techniques (Lycett &amp; Norton, 2010; Lycett, 2007).</w:t>
      </w:r>
      <w:r>
        <w:t xml:space="preserve"> </w:t>
      </w:r>
      <w:r>
        <w:t xml:space="preserve">[Figure demographic and social transmission?]</w:t>
      </w:r>
    </w:p>
    <w:p>
      <w:pPr>
        <w:pStyle w:val="BodyText"/>
      </w:pPr>
      <w:r>
        <w:t xml:space="preserve">Definition of “Acheulean”</w:t>
      </w:r>
    </w:p>
    <w:p>
      <w:pPr>
        <w:pStyle w:val="BodyText"/>
      </w:pPr>
      <w:r>
        <w:t xml:space="preserve">Acheulean bifacial tools are the earliest known artefacts from Africa dating to 1.76 Ma respectively to 1.7- 1.6 Ma (Brumm &amp; Moore, 2012; Lycett &amp; Bae, 2010; Norton et al., 2006). In contrary to Mode I technology, these stone tools show a degree of standardization (Norton et al., 2006) and were the main tools used by hominins during the Pleistocene (Petraglia &amp; Shipton, 2008). The tools include handaxes, cleavers, picks, knives, lanceolates and unifaces (Brumm &amp; Moore, 2012). Used until 100 ka ago, Acheulean tools are commonly interpreted as butchery tools, although other functions are possible as well (Brumm &amp; Moore, 2012). The definition of the Acheulean is not always straightforward, i.e. the assignment of finds can be influenced by the finding location east or west of the Movius Line QUELLE. Also, bifaces are not suitable as a time marker for specific cultures as they have been produced in different parts of the world over several 100 ka (Dennell, 2016).</w:t>
      </w:r>
    </w:p>
    <w:p>
      <w:pPr>
        <w:pStyle w:val="Heading2"/>
      </w:pPr>
      <w:bookmarkStart w:id="26" w:name="survey-data"/>
      <w:bookmarkEnd w:id="26"/>
      <w:r>
        <w:t xml:space="preserve">Survey data</w:t>
      </w:r>
    </w:p>
    <w:p>
      <w:pPr>
        <w:pStyle w:val="Compact"/>
        <w:numPr>
          <w:numId w:val="1003"/>
          <w:ilvl w:val="0"/>
        </w:numPr>
      </w:pPr>
      <w:r>
        <w:t xml:space="preserve">our landscape observations</w:t>
      </w:r>
    </w:p>
    <w:p>
      <w:pPr>
        <w:pStyle w:val="Compact"/>
        <w:numPr>
          <w:numId w:val="1003"/>
          <w:ilvl w:val="0"/>
        </w:numPr>
      </w:pPr>
      <w:r>
        <w:t xml:space="preserve">descriptions of existing cuttings that we visited</w:t>
      </w:r>
    </w:p>
    <w:p>
      <w:pPr>
        <w:pStyle w:val="Compact"/>
        <w:numPr>
          <w:numId w:val="1003"/>
          <w:ilvl w:val="0"/>
        </w:numPr>
      </w:pPr>
      <w:r>
        <w:t xml:space="preserve">GPS data from transect</w:t>
      </w:r>
    </w:p>
    <w:p>
      <w:pPr>
        <w:pStyle w:val="Compact"/>
        <w:numPr>
          <w:numId w:val="1003"/>
          <w:ilvl w:val="0"/>
        </w:numPr>
      </w:pPr>
      <w:r>
        <w:t xml:space="preserve">surface finds of artefacts by KK</w:t>
      </w:r>
    </w:p>
    <w:p>
      <w:pPr>
        <w:pStyle w:val="Heading2"/>
      </w:pPr>
      <w:bookmarkStart w:id="27" w:name="formation-of-the-terraces-and-archaeological-contexts"/>
      <w:bookmarkEnd w:id="27"/>
      <w:r>
        <w:t xml:space="preserve">Formation of the terraces and archaeological contexts</w:t>
      </w:r>
    </w:p>
    <w:p>
      <w:pPr>
        <w:pStyle w:val="Compact"/>
        <w:numPr>
          <w:numId w:val="1004"/>
          <w:ilvl w:val="0"/>
        </w:numPr>
      </w:pPr>
      <w:r>
        <w:t xml:space="preserve">summary of formation</w:t>
      </w:r>
    </w:p>
    <w:p>
      <w:pPr>
        <w:pStyle w:val="Compact"/>
        <w:numPr>
          <w:numId w:val="1004"/>
          <w:ilvl w:val="0"/>
        </w:numPr>
      </w:pPr>
      <w:r>
        <w:t xml:space="preserve">implications for age of the archaeological deposit</w:t>
      </w:r>
    </w:p>
    <w:p>
      <w:pPr>
        <w:pStyle w:val="Heading2"/>
      </w:pPr>
      <w:bookmarkStart w:id="28" w:name="conclusion"/>
      <w:bookmarkEnd w:id="28"/>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9">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0" w:name="including-plots"/>
      <w:bookmarkEnd w:id="30"/>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2" w:name="citations-and-references"/>
      <w:bookmarkEnd w:id="32"/>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3">
        <w:r>
          <w:rPr>
            <w:rStyle w:val="Hyperlink"/>
          </w:rPr>
          <w:t xml:space="preserve">http://rmarkdown.rstudio.com/authoring_bibliographies_and_citations.html</w:t>
        </w:r>
      </w:hyperlink>
    </w:p>
    <w:p>
      <w:pPr>
        <w:pStyle w:val="Heading2"/>
      </w:pPr>
      <w:bookmarkStart w:id="34" w:name="colophon"/>
      <w:bookmarkEnd w:id="34"/>
      <w:r>
        <w:t xml:space="preserve">Colophon</w:t>
      </w:r>
    </w:p>
    <w:p>
      <w:pPr>
        <w:pStyle w:val="FirstParagraph"/>
      </w:pPr>
      <w:r>
        <w:t xml:space="preserve">This report was generated on 2016-10-04 10:56:08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5" w:name="references"/>
      <w:bookmarkEnd w:id="35"/>
      <w:r>
        <w:t xml:space="preserve">References</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108c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0329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9" Target="http://rmarkdown.rstudio.com" TargetMode="External" /><Relationship Type="http://schemas.openxmlformats.org/officeDocument/2006/relationships/hyperlink" Id="rId33" Target="http://rmarkdown.rstudio.com/authoring_bibliographies_and_citation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rmarkdown.rstudio.com" TargetMode="External" /><Relationship Type="http://schemas.openxmlformats.org/officeDocument/2006/relationships/hyperlink" Id="rId33" Target="http://rmarkdown.rstudio.com/authoring_bibliographies_and_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2016-10-03T23:56:09Z</dcterms:created>
  <dcterms:modified xsi:type="dcterms:W3CDTF">2016-10-03T23:56:09Z</dcterms:modified>
</cp:coreProperties>
</file>