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18</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There are three characteristic details of the terrace landforms: the red gravels that drape the surface, the fossil wood pieces found in these gravels, and the terraces</w:t>
      </w:r>
    </w:p>
    <w:p>
      <w:pPr>
        <w:pStyle w:val="BodyText"/>
      </w:pPr>
      <w:r>
        <w:t xml:space="preserve">One of the most distinctive features of the Irrawaddy terraces is the 'coarse red gravels', as they were described by Chhibber</w:t>
      </w:r>
      <w:r>
        <w:t xml:space="preserve"> </w:t>
      </w:r>
      <w:r>
        <w:t xml:space="preserve">(1934)</w:t>
      </w:r>
      <w:r>
        <w:t xml:space="preserve">. Chhibber describes the Irrawaddy River as meandering through the Lower Irrawaddy region, its course occasionaly constrained by sandstone cliffs. These cliffs are especially visible near Yenangyaung, and often capped by sheets of coarse red gravels. Chibber interprets the presence of these gravels as indicatative of previous hights of the river. Stamp</w:t>
      </w:r>
      <w:r>
        <w:t xml:space="preserve"> </w:t>
      </w:r>
      <w:r>
        <w:t xml:space="preserve">(1940, 339)</w:t>
      </w:r>
      <w:r>
        <w:t xml:space="preserve"> </w:t>
      </w:r>
      <w:r>
        <w:t xml:space="preserve">observed the 'thin, coarse red (partly lateritized) gravels' that characterise this landscape.</w:t>
      </w:r>
    </w:p>
    <w:p>
      <w:pPr>
        <w:pStyle w:val="BodyText"/>
      </w:pPr>
      <w:r>
        <w:t xml:space="preserve">The fossil wood fragments are typically within the size range of the background cobbles, but occasionally much larger trunk and branch sections are found. Chhibber notes that most of the fossil wood is identified Diptcrocarpoxylon burmense which grows abundantly in the region. Both monocotyledonous and dicotyledonous fossil wood are found in the deposits. A small percentage of the fossil wood is monocotyledoneae, with distinctive cordiform vascular bundles visible in the rock. The fossil wood is mostly siliceous, calcareous, ferruginous and carbonaceous. Most pieces are composed of chalcedony, microcrystalline silica, and opal. Rarely found are calcite, siderite, and quartz with nodules of iron and calcium</w:t>
      </w:r>
      <w:r>
        <w:t xml:space="preserve"> </w:t>
      </w:r>
      <w:r>
        <w:t xml:space="preserve">(1934)</w:t>
      </w:r>
      <w:r>
        <w:t xml:space="preserve">. Chhibber claims that the fossil wood results from colloidal silica dissolved in the waters that laid down the fossil-bearing deposit.</w:t>
      </w:r>
    </w:p>
    <w:p>
      <w:pPr>
        <w:pStyle w:val="BodyText"/>
      </w:pPr>
      <w:r>
        <w:t xml:space="preserve">Stamp recognised 'peneplaned surfaces at various levels' in the region, but is skeptical of de Terra's interpretations. Stamp writes that 'de Terra makes so many sweeping generalizations, some of which are obviously incorrect, and glosses over the most disputed difficulties of stratigraphical correlation, that one is forced to suggest that much more work is needed before his various conclusions can be accepted.'</w:t>
      </w:r>
    </w:p>
    <w:p>
      <w:pPr>
        <w:pStyle w:val="BodyText"/>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(Movius 1948)</w:t>
      </w:r>
      <w:r>
        <w:t xml:space="preserve">. Anyathian artefacts are mainly found in the secondary deposits of the Pleistocene terrace gravels of the Irrawaddy River, generally containing only few handaxes</w:t>
      </w:r>
      <w:r>
        <w:t xml:space="preserve"> </w:t>
      </w:r>
      <w:r>
        <w:t xml:space="preserve">(Movius 1948)</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(Movius 1948)</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 Movius 1948)</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simple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 In addition, the term "Anyathian" is no longer used, instead the time span in question is referred to as the Middle Pleistocene.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 Dennell 2014)</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2"/>
      </w:pPr>
      <w:bookmarkStart w:id="27" w:name="survey-data"/>
      <w:bookmarkEnd w:id="27"/>
      <w:r>
        <w:t xml:space="preserve">Survey data</w:t>
      </w:r>
    </w:p>
    <w:p>
      <w:pPr>
        <w:pStyle w:val="Heading3"/>
      </w:pPr>
      <w:bookmarkStart w:id="28" w:name="landscape-observations"/>
      <w:bookmarkEnd w:id="28"/>
      <w:r>
        <w:t xml:space="preserve">Landscape observations</w:t>
      </w:r>
    </w:p>
    <w:p>
      <w:pPr>
        <w:pStyle w:val="FirstParagraph"/>
      </w:pPr>
      <w:r>
        <w:t xml:space="preserve">The landscape in the Lower Irrawaddy region is characterized by river terraces that are heavily incised. The uppermost terrace T1 is only sparsely preserved with one relict hill where the Chinthaungma monastery sits 70 m above the river level. Thick red gravel layers with a reddish-brown silty sand matrix overly the bedrock.</w:t>
      </w:r>
    </w:p>
    <w:p>
      <w:pPr>
        <w:pStyle w:val="BodyText"/>
      </w:pPr>
      <w:r>
        <w:t xml:space="preserve">Terrace 2 (T2) can be distinguished by the scarcity of vegetation compared to the lower terrace 3 (T3). Probably due to the very thin or absent soil layer on top pf the bedrock, only grass, shrubs and some scattered trees grow on T2. The terrain is severely incised and has a lot of gently rolling gullies and valleys.</w:t>
      </w:r>
    </w:p>
    <w:p>
      <w:pPr>
        <w:pStyle w:val="BodyText"/>
      </w:pPr>
      <w:r>
        <w:t xml:space="preserve">On T3, the vegetation is more prominent and there are fewer incisions. The red gravel layer is not as dominant as in T1, whereas the soil layer seems to be more pronounced. There are some filled fields and a golf course that was created in 1947 for the local oil workers. Because of its lower location, the gravels may be colluvial redposits from T1, although it could be an alluvial terrace.</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9" w:name="formation-of-the-terraces-and-archaeological-contexts"/>
      <w:bookmarkEnd w:id="29"/>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30" w:name="conclusion"/>
      <w:bookmarkEnd w:id="30"/>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2" w:name="including-plots"/>
      <w:bookmarkEnd w:id="32"/>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4" w:name="citations-and-references"/>
      <w:bookmarkEnd w:id="34"/>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5">
        <w:r>
          <w:rPr>
            <w:rStyle w:val="Hyperlink"/>
          </w:rPr>
          <w:t xml:space="preserve">http://rmarkdown.rstudio.com/authoring_bibliographies_and_citations.html</w:t>
        </w:r>
      </w:hyperlink>
    </w:p>
    <w:p>
      <w:pPr>
        <w:pStyle w:val="Heading2"/>
      </w:pPr>
      <w:bookmarkStart w:id="36" w:name="colophon"/>
      <w:bookmarkEnd w:id="36"/>
      <w:r>
        <w:t xml:space="preserve">Colophon</w:t>
      </w:r>
    </w:p>
    <w:p>
      <w:pPr>
        <w:pStyle w:val="FirstParagraph"/>
      </w:pPr>
      <w:r>
        <w:t xml:space="preserve">This report was generated on 2016-10-18 12:27:04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7" w:name="references"/>
      <w:bookmarkEnd w:id="37"/>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Chhibber, Harbans Lal, and R Ramamirtham. 1934.</w:t>
      </w:r>
      <w:r>
        <w:t xml:space="preserve"> </w:t>
      </w:r>
      <w:r>
        <w:rPr>
          <w:i/>
        </w:rPr>
        <w:t xml:space="preserve">The Geology of Burma</w:t>
      </w:r>
      <w:r>
        <w:t xml:space="preserve">. Macmillan.</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8">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Stamp, L Dudley. 1940. “The Irrawaddy River.”</w:t>
      </w:r>
      <w:r>
        <w:t xml:space="preserve"> </w:t>
      </w:r>
      <w:r>
        <w:rPr>
          <w:i/>
        </w:rPr>
        <w:t xml:space="preserve">The Geographical Journal</w:t>
      </w:r>
      <w:r>
        <w:t xml:space="preserve"> </w:t>
      </w:r>
      <w:r>
        <w:t xml:space="preserve">95 (5). JSTOR: 329–52.</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eb22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b5ab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2016-10-18T01:27:24Z</dcterms:created>
  <dcterms:modified xsi:type="dcterms:W3CDTF">2016-10-18T01:27:24Z</dcterms:modified>
</cp:coreProperties>
</file>