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10</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and later assigned to the “new” Anyathian culture from the Lower Palaeolithic in Southeast Asia. The Anyathian artefacts are mainly in the secondary deposits of the Pleistocene terrace gravels of the Irrawaddy River. The occurrence of only few handaxes is a main characteristic of Anyanthian assemblages.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Due to raw material constraints (fossil wood and silicified tuff), the three phases of the Early Anyathian are dominated by a high degree of uniformity of the stone tools.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as well as choppers and chopping tools. Generally, stone tools made of silicified tuff are more massive compared to fossil wood. Choppers are dominant, whereas there are few handaxes</w:t>
      </w:r>
      <w:r>
        <w:t xml:space="preserve"> </w:t>
      </w:r>
      <w:r>
        <w:t xml:space="preserve">(Hellmut de Terra 1943)</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or are heavily rolled. The former implies an occupation of this area during the forming of the crust in a long interpluvial period. The latter suggests that these implements were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western/southern Asia and the simpler chopper/chopping tool technology of Southeast/East Asia, Movius proposed the concept of the Movius Line separating the Lower Palaeolithic into two cultures - the crude or non- stone tool-making cultures in E and SE Asia (e.g. Imjin/Hantan River Basin, Korea and Luonan Basin and Longyadong Cave, China) and northern China (e.g. Zhoukoudian) and the more complex stone tool-making cultures in the Old World (e.g. Olduvai George Beds, Tanzania and Olorgesailie, Kenya)</w:t>
      </w:r>
      <w:r>
        <w:t xml:space="preserve"> </w:t>
      </w:r>
      <w:r>
        <w:t xml:space="preserve">(</w:t>
      </w:r>
      <w:r>
        <w:rPr>
          <w:b/>
        </w:rPr>
        <w:t xml:space="preserve">???</w:t>
      </w:r>
      <w:r>
        <w:t xml:space="preserve">; Norton et al. 2006; Gao and Dennell 2014)</w:t>
      </w:r>
      <w:r>
        <w:t xml:space="preserv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is highly debated.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are investigated in modern quaternary science</w:t>
      </w:r>
      <w:r>
        <w:t xml:space="preserve"> </w:t>
      </w:r>
      <w:r>
        <w:t xml:space="preserve">(Brumm and Moore 2012; Dennell 2016; Norton and Bae 2008; Norton et al. 2006; Petraglia and Shipton 2008; Schick 1994)</w:t>
      </w:r>
      <w:r>
        <w:t xml:space="preserve">, including constraints on raw material, demographic and social transmission, environmental changes and dispersal routes.</w:t>
      </w:r>
    </w:p>
    <w:p>
      <w:pPr>
        <w:pStyle w:val="BodyText"/>
      </w:pP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(Dennell 2016)</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p>
    <w:p>
      <w:pPr>
        <w:pStyle w:val="BodyText"/>
      </w:pPr>
      <w:r>
        <w:t xml:space="preserve">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 However, even though bamboo cutting marks on bones can be distinguished from other cutting marks, there have been no findings of such so far</w:t>
      </w:r>
      <w:r>
        <w:t xml:space="preserve"> </w:t>
      </w:r>
      <w:r>
        <w:t xml:space="preserve">(Lycett and Bae 2010)</w:t>
      </w:r>
      <w:r>
        <w:t xml:space="preserve">.</w:t>
      </w:r>
    </w:p>
    <w:p>
      <w:pPr>
        <w:pStyle w:val="BodyText"/>
      </w:pPr>
      <w:r>
        <w:t xml:space="preserve">The dispersal route of early modern humans from Africa to Asia and Australia is still debated among quaternary scientists. 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w:t>
      </w:r>
      <w:r>
        <w:t xml:space="preserve">.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elaborate tool making techniques</w:t>
      </w:r>
      <w:r>
        <w:t xml:space="preserve"> </w:t>
      </w:r>
      <w:r>
        <w:t xml:space="preserve">(Lycett and Norton 2010; Lycett 2007b)</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In contrary to Mode I technology, these stone tools show a degree of standardization</w:t>
      </w:r>
      <w:r>
        <w:t xml:space="preserve"> </w:t>
      </w:r>
      <w:r>
        <w:t xml:space="preserve">(Norton et al. 2006)</w:t>
      </w:r>
      <w:r>
        <w:t xml:space="preserve"> </w:t>
      </w:r>
      <w:r>
        <w:t xml:space="preserve">and were the main tools used by hominins during the Pleistocene</w:t>
      </w:r>
      <w:r>
        <w:t xml:space="preserve"> </w:t>
      </w:r>
      <w:r>
        <w:t xml:space="preserve">(Petraglia and Shipton 2008)</w:t>
      </w:r>
      <w:r>
        <w:t xml:space="preserve">. The tools include handaxes, cleavers, picks, knives, lanceolates and unifaces</w:t>
      </w:r>
      <w:r>
        <w:t xml:space="preserve"> </w:t>
      </w:r>
      <w:r>
        <w:t xml:space="preserve">(Brumm and Moore 2012)</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w:t>
      </w:r>
      <w:r>
        <w:t xml:space="preserve"> </w:t>
      </w:r>
      <w:r>
        <w:t xml:space="preserve">(Dennell 2016)</w:t>
      </w:r>
      <w:r>
        <w:t xml:space="preserve">.</w:t>
      </w:r>
    </w:p>
    <w:p>
      <w:pPr>
        <w:pStyle w:val="BodyText"/>
      </w:pPr>
      <w:r>
        <w:t xml:space="preserve">Dennell is one of the more recent critics of the concept of the Movius Line. In his analysis of Movius’ publications, he describes their views as “backwards”, “ancient” and “eurocentric”</w:t>
      </w:r>
      <w:r>
        <w:t xml:space="preserve"> </w:t>
      </w:r>
      <w:r>
        <w:t xml:space="preserve">(Dennell 2016)</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w:t>
      </w:r>
      <w:r>
        <w:t xml:space="preserve"> </w:t>
      </w:r>
      <w:r>
        <w:t xml:space="preserve">(Dennell 2016)</w:t>
      </w:r>
      <w:r>
        <w:t xml:space="preserve">.</w:t>
      </w:r>
    </w:p>
    <w:p>
      <w:pPr>
        <w:pStyle w:val="Heading2"/>
      </w:pPr>
      <w:bookmarkStart w:id="27" w:name="survey-data"/>
      <w:bookmarkEnd w:id="27"/>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8" w:name="formation-of-the-terraces-and-archaeological-contexts"/>
      <w:bookmarkEnd w:id="28"/>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9" w:name="conclusion"/>
      <w:bookmarkEnd w:id="29"/>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1" w:name="including-plots"/>
      <w:bookmarkEnd w:id="31"/>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3" w:name="citations-and-references"/>
      <w:bookmarkEnd w:id="33"/>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4">
        <w:r>
          <w:rPr>
            <w:rStyle w:val="Hyperlink"/>
          </w:rPr>
          <w:t xml:space="preserve">http://rmarkdown.rstudio.com/authoring_bibliographies_and_citations.html</w:t>
        </w:r>
      </w:hyperlink>
    </w:p>
    <w:p>
      <w:pPr>
        <w:pStyle w:val="Heading2"/>
      </w:pPr>
      <w:bookmarkStart w:id="35" w:name="colophon"/>
      <w:bookmarkEnd w:id="35"/>
      <w:r>
        <w:t xml:space="preserve">Colophon</w:t>
      </w:r>
    </w:p>
    <w:p>
      <w:pPr>
        <w:pStyle w:val="FirstParagraph"/>
      </w:pPr>
      <w:r>
        <w:t xml:space="preserve">This report was generated on 2016-10-10 16:23:23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6" w:name="references"/>
      <w:bookmarkEnd w:id="36"/>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7">
        <w:r>
          <w:rPr>
            <w:rStyle w:val="Hyperlink"/>
          </w:rPr>
          <w:t xml:space="preserve">http://www.jstor.org/stable/1005586</w:t>
        </w:r>
      </w:hyperlink>
      <w:r>
        <w:t xml:space="preserve">.</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4361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c29a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2016-10-10T05:23:53Z</dcterms:created>
  <dcterms:modified xsi:type="dcterms:W3CDTF">2016-10-10T05:23:53Z</dcterms:modified>
</cp:coreProperties>
</file>