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18</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hights of the river. Stamp</w:t>
      </w:r>
      <w:r>
        <w:t xml:space="preserve"> </w:t>
      </w:r>
      <w:r>
        <w:t xml:space="preserve">(1940, 339)</w:t>
      </w:r>
      <w:r>
        <w:t xml:space="preserve"> </w:t>
      </w:r>
      <w:r>
        <w:t xml:space="preserve">observed the 'thin, coarse red (partly lateritized) gravels' that characterise this landscape.</w:t>
      </w:r>
    </w:p>
    <w:p>
      <w:pPr>
        <w:pStyle w:val="BodyText"/>
      </w:pPr>
      <w:r>
        <w:t xml:space="preserve">The fossil wood fragments are typically within the size range of the background cobbles, but occasionally much larger trunk and branch sections are found. Chhibber notes that most of the fossil wood is identified Diptcrocarpoxylon burmense which grows abundantly in the region.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claims that the fossil wood results from colloidal silica dissolved in the waters that laid down the fossil-bearing deposit.</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BodyText"/>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Heading3"/>
      </w:pPr>
      <w:bookmarkStart w:id="28" w:name="landscape-observations"/>
      <w:bookmarkEnd w:id="28"/>
      <w:r>
        <w:t xml:space="preserve">Landscape observations</w:t>
      </w:r>
    </w:p>
    <w:p>
      <w:pPr>
        <w:pStyle w:val="FirstParagraph"/>
      </w:pPr>
      <w:r>
        <w:t xml:space="preserve">The landscape in the Lower Irrawaddy region is characterized by river terraces that are heavily incised. The uppermost terrace T1 is only sparsely preserved with one relict hill where the Chinthaungma monastery sits 70 m above the river level. Thick red gravel layers with a reddish-brown silty sand matrix overly the bedrock.</w:t>
      </w:r>
    </w:p>
    <w:p>
      <w:pPr>
        <w:pStyle w:val="BodyText"/>
      </w:pPr>
      <w:r>
        <w:t xml:space="preserve">Terrace 2 (T2) can be distinguished by the scarcity of vegetation compared to the lower terrace 3 (T3). Probably due to the very thin or absent soil layer on top pf the bedrock, only grass, shrubs and some scattered trees grow on T2. The terrain is severely incised and has a lot of gently rolling gullies and valleys.</w:t>
      </w:r>
    </w:p>
    <w:p>
      <w:pPr>
        <w:pStyle w:val="BodyText"/>
      </w:pPr>
      <w:r>
        <w:t xml:space="preserve">On T3, the vegetation is more prominent and there are fewer incisions. The red gravel layer is not as dominant as in T1, whereas the soil layer seems to be more pronounced. There are some filled fields and a golf course that was created in 1947 for the local oil workers. Because of its lower location, the gravels may be colluvial redposits from T1, although it could be an alluvial terrace.</w:t>
      </w:r>
    </w:p>
    <w:p>
      <w:pPr>
        <w:pStyle w:val="BodyText"/>
      </w:pPr>
      <w:r>
        <w:t xml:space="preserve">According to Movius, two more terraces can be spotted from the river. After an intensive inspection, terrace 4 (T4) may be a cliff close to the river (base at 46 m) with a slight elevation compared to the river (41 m). In contrast to the other terraces, the red gravel layer is absent on T4. However, the bedrock is overlain by coarse gravels in a reddish brown sandy silt matrix (5 cm) that is followed by a reddish brown fine grained sandy silt with occasional small gravel clasts, as well as small carbonate modules.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9" w:name="formation-of-the-terraces-and-archaeological-contexts"/>
      <w:bookmarkEnd w:id="29"/>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30" w:name="conclusion"/>
      <w:bookmarkEnd w:id="30"/>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2" w:name="including-plots"/>
      <w:bookmarkEnd w:id="32"/>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4" w:name="citations-and-references"/>
      <w:bookmarkEnd w:id="34"/>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5">
        <w:r>
          <w:rPr>
            <w:rStyle w:val="Hyperlink"/>
          </w:rPr>
          <w:t xml:space="preserve">http://rmarkdown.rstudio.com/authoring_bibliographies_and_citations.html</w:t>
        </w:r>
      </w:hyperlink>
    </w:p>
    <w:p>
      <w:pPr>
        <w:pStyle w:val="Heading2"/>
      </w:pPr>
      <w:bookmarkStart w:id="36" w:name="colophon"/>
      <w:bookmarkEnd w:id="36"/>
      <w:r>
        <w:t xml:space="preserve">Colophon</w:t>
      </w:r>
    </w:p>
    <w:p>
      <w:pPr>
        <w:pStyle w:val="FirstParagraph"/>
      </w:pPr>
      <w:r>
        <w:t xml:space="preserve">This report was generated on 2016-10-18 13:56:24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7" w:name="references"/>
      <w:bookmarkEnd w:id="37"/>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8">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7df5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1364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1" Target="http://rmarkdown.rstudio.com" TargetMode="External" /><Relationship Type="http://schemas.openxmlformats.org/officeDocument/2006/relationships/hyperlink" Id="rId35" Target="http://rmarkdown.rstudio.com/authoring_bibliographies_and_citations.html" TargetMode="External" /><Relationship Type="http://schemas.openxmlformats.org/officeDocument/2006/relationships/hyperlink" Id="rId38"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2016-10-18T02:56:39Z</dcterms:created>
  <dcterms:modified xsi:type="dcterms:W3CDTF">2016-10-18T02:56:39Z</dcterms:modified>
</cp:coreProperties>
</file>