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72735" w14:textId="001A0003" w:rsidR="002862FC" w:rsidRPr="00141203" w:rsidRDefault="00C40CB7" w:rsidP="00141203">
      <w:pPr>
        <w:spacing w:line="360" w:lineRule="auto"/>
        <w:jc w:val="center"/>
        <w:rPr>
          <w:rFonts w:ascii="Times New Roman" w:hAnsi="Times New Roman" w:cs="Times New Roman"/>
          <w:b/>
          <w:bCs/>
        </w:rPr>
      </w:pPr>
      <w:r w:rsidRPr="00141203">
        <w:rPr>
          <w:rFonts w:ascii="Times New Roman" w:hAnsi="Times New Roman" w:cs="Times New Roman"/>
          <w:b/>
          <w:bCs/>
        </w:rPr>
        <w:t xml:space="preserve">Company Financial Performance and ESG </w:t>
      </w:r>
      <w:r w:rsidR="002D44CF" w:rsidRPr="00141203">
        <w:rPr>
          <w:rFonts w:ascii="Times New Roman" w:hAnsi="Times New Roman" w:cs="Times New Roman"/>
          <w:b/>
          <w:bCs/>
        </w:rPr>
        <w:t>Rating</w:t>
      </w:r>
      <w:r w:rsidR="00CE6790" w:rsidRPr="00141203">
        <w:rPr>
          <w:rFonts w:ascii="Times New Roman" w:hAnsi="Times New Roman" w:cs="Times New Roman"/>
          <w:b/>
          <w:bCs/>
        </w:rPr>
        <w:t xml:space="preserve"> </w:t>
      </w:r>
      <w:r w:rsidR="00246B34" w:rsidRPr="00141203">
        <w:rPr>
          <w:rFonts w:ascii="Times New Roman" w:hAnsi="Times New Roman" w:cs="Times New Roman"/>
          <w:b/>
          <w:bCs/>
        </w:rPr>
        <w:t>Report</w:t>
      </w:r>
      <w:r w:rsidR="00CE6790" w:rsidRPr="00141203">
        <w:rPr>
          <w:rFonts w:ascii="Times New Roman" w:hAnsi="Times New Roman" w:cs="Times New Roman"/>
          <w:b/>
          <w:bCs/>
        </w:rPr>
        <w:t xml:space="preserve"> </w:t>
      </w:r>
    </w:p>
    <w:p w14:paraId="7F412213" w14:textId="7FCB71C9" w:rsidR="00246B34" w:rsidRPr="00141203" w:rsidRDefault="00246B34" w:rsidP="00141203">
      <w:pPr>
        <w:spacing w:line="360" w:lineRule="auto"/>
        <w:jc w:val="center"/>
        <w:rPr>
          <w:rFonts w:ascii="Times New Roman" w:hAnsi="Times New Roman" w:cs="Times New Roman"/>
          <w:b/>
          <w:bCs/>
        </w:rPr>
      </w:pPr>
      <w:r w:rsidRPr="00141203">
        <w:rPr>
          <w:rFonts w:ascii="Times New Roman" w:hAnsi="Times New Roman" w:cs="Times New Roman"/>
          <w:b/>
          <w:bCs/>
        </w:rPr>
        <w:t xml:space="preserve">Maria Vitullo, Amira Eid </w:t>
      </w:r>
    </w:p>
    <w:p w14:paraId="0C394D35" w14:textId="77777777" w:rsidR="007A0D54" w:rsidRPr="00141203" w:rsidRDefault="007A0D54" w:rsidP="00141203">
      <w:pPr>
        <w:spacing w:line="360" w:lineRule="auto"/>
        <w:rPr>
          <w:rFonts w:ascii="Times New Roman" w:eastAsia="Times New Roman" w:hAnsi="Times New Roman" w:cs="Times New Roman"/>
          <w:b/>
          <w:bCs/>
          <w:color w:val="000000"/>
          <w:kern w:val="0"/>
          <w14:ligatures w14:val="none"/>
        </w:rPr>
      </w:pPr>
      <w:r w:rsidRPr="00141203">
        <w:rPr>
          <w:rFonts w:ascii="Times New Roman" w:eastAsia="Times New Roman" w:hAnsi="Times New Roman" w:cs="Times New Roman"/>
          <w:b/>
          <w:bCs/>
          <w:color w:val="000000"/>
          <w:kern w:val="0"/>
          <w14:ligatures w14:val="none"/>
        </w:rPr>
        <w:t>1. Introduction</w:t>
      </w:r>
    </w:p>
    <w:p w14:paraId="0D539EA2" w14:textId="04B93272" w:rsidR="007A0D54" w:rsidRPr="00141203" w:rsidRDefault="007A0D54" w:rsidP="00141203">
      <w:pPr>
        <w:spacing w:line="360" w:lineRule="auto"/>
        <w:rPr>
          <w:rFonts w:ascii="Times New Roman" w:eastAsia="Times New Roman" w:hAnsi="Times New Roman" w:cs="Times New Roman"/>
          <w:color w:val="000000"/>
          <w:kern w:val="0"/>
          <w14:ligatures w14:val="none"/>
        </w:rPr>
      </w:pPr>
      <w:r w:rsidRPr="00141203">
        <w:rPr>
          <w:rFonts w:ascii="Times New Roman" w:eastAsia="Times New Roman" w:hAnsi="Times New Roman" w:cs="Times New Roman"/>
          <w:color w:val="000000"/>
          <w:kern w:val="0"/>
          <w14:ligatures w14:val="none"/>
        </w:rPr>
        <w:t>Environmental, Social, and Governance (ESG) ratings are a standardized set of criteria used to evaluate a company’s performance on sustainability and ethical practices. These scores reflect how well companies manage risks and opportunities related to environmental impact</w:t>
      </w:r>
      <w:r w:rsidR="00CD5DE3" w:rsidRPr="00141203">
        <w:rPr>
          <w:rFonts w:ascii="Times New Roman" w:eastAsia="Times New Roman" w:hAnsi="Times New Roman" w:cs="Times New Roman"/>
          <w:color w:val="000000"/>
          <w:kern w:val="0"/>
          <w14:ligatures w14:val="none"/>
        </w:rPr>
        <w:t>,</w:t>
      </w:r>
      <w:r w:rsidRPr="00141203">
        <w:rPr>
          <w:rFonts w:ascii="Times New Roman" w:eastAsia="Times New Roman" w:hAnsi="Times New Roman" w:cs="Times New Roman"/>
          <w:color w:val="000000"/>
          <w:kern w:val="0"/>
          <w14:ligatures w14:val="none"/>
        </w:rPr>
        <w:t xml:space="preserve"> social responsibilit</w:t>
      </w:r>
      <w:r w:rsidRPr="00141203">
        <w:rPr>
          <w:rFonts w:ascii="Times New Roman" w:eastAsia="Times New Roman" w:hAnsi="Times New Roman" w:cs="Times New Roman"/>
          <w:color w:val="000000"/>
          <w:kern w:val="0"/>
          <w14:ligatures w14:val="none"/>
        </w:rPr>
        <w:t>y</w:t>
      </w:r>
      <w:r w:rsidRPr="00141203">
        <w:rPr>
          <w:rFonts w:ascii="Times New Roman" w:eastAsia="Times New Roman" w:hAnsi="Times New Roman" w:cs="Times New Roman"/>
          <w:color w:val="000000"/>
          <w:kern w:val="0"/>
          <w14:ligatures w14:val="none"/>
        </w:rPr>
        <w:t>, and corporate governance</w:t>
      </w:r>
      <w:r w:rsidR="00E03388" w:rsidRPr="00141203">
        <w:rPr>
          <w:rFonts w:ascii="Times New Roman" w:eastAsia="Times New Roman" w:hAnsi="Times New Roman" w:cs="Times New Roman"/>
          <w:color w:val="000000"/>
          <w:kern w:val="0"/>
          <w14:ligatures w14:val="none"/>
        </w:rPr>
        <w:t>.</w:t>
      </w:r>
    </w:p>
    <w:p w14:paraId="5BF95F0D" w14:textId="77777777" w:rsidR="007A0D54" w:rsidRPr="00141203" w:rsidRDefault="007A0D54" w:rsidP="00141203">
      <w:pPr>
        <w:spacing w:line="360" w:lineRule="auto"/>
        <w:rPr>
          <w:rFonts w:ascii="Times New Roman" w:eastAsia="Times New Roman" w:hAnsi="Times New Roman" w:cs="Times New Roman"/>
          <w:color w:val="000000"/>
          <w:kern w:val="0"/>
          <w14:ligatures w14:val="none"/>
        </w:rPr>
      </w:pPr>
      <w:r w:rsidRPr="00141203">
        <w:rPr>
          <w:rFonts w:ascii="Times New Roman" w:eastAsia="Times New Roman" w:hAnsi="Times New Roman" w:cs="Times New Roman"/>
          <w:color w:val="000000"/>
          <w:kern w:val="0"/>
          <w14:ligatures w14:val="none"/>
        </w:rPr>
        <w:t>In this project, we collected ESG risk scores for approximately 1,400 companies from Sustainalytics via web scraping. We then extracted financial metrics for S&amp;P 500 companies from Yahoo Finance. Our goal was to identify patterns and correlations between ESG scores and financial indicators such as P/E ratio, Forward P/E, Net Income, Revenue, EBITDA, Sector, and Market Capitalization.</w:t>
      </w:r>
    </w:p>
    <w:p w14:paraId="08C06A64" w14:textId="11FF586A" w:rsidR="007A0D54" w:rsidRPr="00141203" w:rsidRDefault="007A0D54" w:rsidP="00141203">
      <w:pPr>
        <w:spacing w:line="360" w:lineRule="auto"/>
        <w:rPr>
          <w:rFonts w:ascii="Times New Roman" w:eastAsia="Times New Roman" w:hAnsi="Times New Roman" w:cs="Times New Roman"/>
          <w:color w:val="000000"/>
          <w:kern w:val="0"/>
          <w14:ligatures w14:val="none"/>
        </w:rPr>
      </w:pPr>
      <w:r w:rsidRPr="00141203">
        <w:rPr>
          <w:rFonts w:ascii="Times New Roman" w:eastAsia="Times New Roman" w:hAnsi="Times New Roman" w:cs="Times New Roman"/>
          <w:color w:val="000000"/>
          <w:kern w:val="0"/>
          <w14:ligatures w14:val="none"/>
        </w:rPr>
        <w:t xml:space="preserve">Specifically, we </w:t>
      </w:r>
      <w:r w:rsidR="001F18C5" w:rsidRPr="00141203">
        <w:rPr>
          <w:rFonts w:ascii="Times New Roman" w:eastAsia="Times New Roman" w:hAnsi="Times New Roman" w:cs="Times New Roman"/>
          <w:color w:val="000000"/>
          <w:kern w:val="0"/>
          <w14:ligatures w14:val="none"/>
        </w:rPr>
        <w:t>proposed</w:t>
      </w:r>
      <w:r w:rsidRPr="00141203">
        <w:rPr>
          <w:rFonts w:ascii="Times New Roman" w:eastAsia="Times New Roman" w:hAnsi="Times New Roman" w:cs="Times New Roman"/>
          <w:color w:val="000000"/>
          <w:kern w:val="0"/>
          <w14:ligatures w14:val="none"/>
        </w:rPr>
        <w:t xml:space="preserve"> </w:t>
      </w:r>
      <w:r w:rsidRPr="00141203">
        <w:rPr>
          <w:rFonts w:ascii="Times New Roman" w:eastAsia="Times New Roman" w:hAnsi="Times New Roman" w:cs="Times New Roman"/>
          <w:color w:val="000000"/>
          <w:kern w:val="0"/>
          <w14:ligatures w14:val="none"/>
        </w:rPr>
        <w:t>three key questions:</w:t>
      </w:r>
    </w:p>
    <w:p w14:paraId="58BE2AAF" w14:textId="77777777" w:rsidR="007A0D54" w:rsidRPr="00141203" w:rsidRDefault="007A0D54" w:rsidP="00141203">
      <w:pPr>
        <w:numPr>
          <w:ilvl w:val="0"/>
          <w:numId w:val="8"/>
        </w:numPr>
        <w:spacing w:line="360" w:lineRule="auto"/>
        <w:rPr>
          <w:rFonts w:ascii="Times New Roman" w:eastAsia="Times New Roman" w:hAnsi="Times New Roman" w:cs="Times New Roman"/>
          <w:color w:val="000000"/>
          <w:kern w:val="0"/>
          <w14:ligatures w14:val="none"/>
        </w:rPr>
      </w:pPr>
      <w:r w:rsidRPr="00141203">
        <w:rPr>
          <w:rFonts w:ascii="Times New Roman" w:eastAsia="Times New Roman" w:hAnsi="Times New Roman" w:cs="Times New Roman"/>
          <w:color w:val="000000"/>
          <w:kern w:val="0"/>
          <w14:ligatures w14:val="none"/>
        </w:rPr>
        <w:t>Does financial performance impact ESG scores?</w:t>
      </w:r>
    </w:p>
    <w:p w14:paraId="127869CC" w14:textId="77777777" w:rsidR="007A0D54" w:rsidRPr="00141203" w:rsidRDefault="007A0D54" w:rsidP="00141203">
      <w:pPr>
        <w:numPr>
          <w:ilvl w:val="0"/>
          <w:numId w:val="8"/>
        </w:numPr>
        <w:spacing w:line="360" w:lineRule="auto"/>
        <w:rPr>
          <w:rFonts w:ascii="Times New Roman" w:eastAsia="Times New Roman" w:hAnsi="Times New Roman" w:cs="Times New Roman"/>
          <w:color w:val="000000"/>
          <w:kern w:val="0"/>
          <w14:ligatures w14:val="none"/>
        </w:rPr>
      </w:pPr>
      <w:r w:rsidRPr="00141203">
        <w:rPr>
          <w:rFonts w:ascii="Times New Roman" w:eastAsia="Times New Roman" w:hAnsi="Times New Roman" w:cs="Times New Roman"/>
          <w:color w:val="000000"/>
          <w:kern w:val="0"/>
          <w14:ligatures w14:val="none"/>
        </w:rPr>
        <w:t>Does a company's sector influence its ESG score?</w:t>
      </w:r>
    </w:p>
    <w:p w14:paraId="378BF9E2" w14:textId="42D7EFC7" w:rsidR="00F56C4F" w:rsidRPr="00141203" w:rsidRDefault="007A0D54" w:rsidP="00141203">
      <w:pPr>
        <w:numPr>
          <w:ilvl w:val="0"/>
          <w:numId w:val="8"/>
        </w:numPr>
        <w:spacing w:line="360" w:lineRule="auto"/>
        <w:rPr>
          <w:rFonts w:ascii="Times New Roman" w:eastAsia="Times New Roman" w:hAnsi="Times New Roman" w:cs="Times New Roman"/>
          <w:color w:val="000000"/>
          <w:kern w:val="0"/>
          <w14:ligatures w14:val="none"/>
        </w:rPr>
      </w:pPr>
      <w:r w:rsidRPr="00141203">
        <w:rPr>
          <w:rFonts w:ascii="Times New Roman" w:eastAsia="Times New Roman" w:hAnsi="Times New Roman" w:cs="Times New Roman"/>
          <w:color w:val="000000"/>
          <w:kern w:val="0"/>
          <w14:ligatures w14:val="none"/>
        </w:rPr>
        <w:t>Do ESG scores differ between the highest and lowest market cap companies?</w:t>
      </w:r>
    </w:p>
    <w:p w14:paraId="0D080F2E" w14:textId="1BA8293A" w:rsidR="00EE5117" w:rsidRPr="00141203" w:rsidRDefault="007D6121" w:rsidP="00141203">
      <w:pPr>
        <w:spacing w:line="360" w:lineRule="auto"/>
        <w:rPr>
          <w:rFonts w:ascii="Times New Roman" w:hAnsi="Times New Roman" w:cs="Times New Roman"/>
          <w:b/>
          <w:bCs/>
        </w:rPr>
      </w:pPr>
      <w:r w:rsidRPr="00141203">
        <w:rPr>
          <w:rFonts w:ascii="Times New Roman" w:hAnsi="Times New Roman" w:cs="Times New Roman"/>
          <w:b/>
          <w:bCs/>
        </w:rPr>
        <w:t>2.</w:t>
      </w:r>
      <w:r w:rsidR="00A65D1E" w:rsidRPr="00141203">
        <w:rPr>
          <w:rFonts w:ascii="Times New Roman" w:hAnsi="Times New Roman" w:cs="Times New Roman"/>
          <w:b/>
          <w:bCs/>
        </w:rPr>
        <w:t xml:space="preserve"> </w:t>
      </w:r>
      <w:r w:rsidR="00EE5117" w:rsidRPr="00141203">
        <w:rPr>
          <w:rFonts w:ascii="Times New Roman" w:hAnsi="Times New Roman" w:cs="Times New Roman"/>
          <w:b/>
          <w:bCs/>
        </w:rPr>
        <w:t xml:space="preserve">Data </w:t>
      </w:r>
    </w:p>
    <w:p w14:paraId="74900725" w14:textId="79B98C6E" w:rsidR="008D233B" w:rsidRPr="00141203" w:rsidRDefault="008D233B" w:rsidP="00141203">
      <w:pPr>
        <w:spacing w:line="360" w:lineRule="auto"/>
        <w:rPr>
          <w:rFonts w:ascii="Times New Roman" w:hAnsi="Times New Roman" w:cs="Times New Roman"/>
        </w:rPr>
      </w:pPr>
      <w:r w:rsidRPr="00141203">
        <w:rPr>
          <w:rFonts w:ascii="Times New Roman" w:hAnsi="Times New Roman" w:cs="Times New Roman"/>
        </w:rPr>
        <w:t xml:space="preserve">This project uses </w:t>
      </w:r>
      <w:r w:rsidR="002670EF" w:rsidRPr="00141203">
        <w:rPr>
          <w:rFonts w:ascii="Times New Roman" w:hAnsi="Times New Roman" w:cs="Times New Roman"/>
        </w:rPr>
        <w:t>three data</w:t>
      </w:r>
      <w:r w:rsidRPr="00141203">
        <w:rPr>
          <w:rFonts w:ascii="Times New Roman" w:hAnsi="Times New Roman" w:cs="Times New Roman"/>
        </w:rPr>
        <w:t xml:space="preserve"> sources</w:t>
      </w:r>
      <w:r w:rsidRPr="00141203">
        <w:rPr>
          <w:rFonts w:ascii="Times New Roman" w:hAnsi="Times New Roman" w:cs="Times New Roman"/>
        </w:rPr>
        <w:t xml:space="preserve">: </w:t>
      </w:r>
      <w:r w:rsidR="00777DF4" w:rsidRPr="00141203">
        <w:rPr>
          <w:rFonts w:ascii="Times New Roman" w:hAnsi="Times New Roman" w:cs="Times New Roman"/>
        </w:rPr>
        <w:t xml:space="preserve">First, </w:t>
      </w:r>
      <w:r w:rsidR="0033263C" w:rsidRPr="00141203">
        <w:rPr>
          <w:rFonts w:ascii="Times New Roman" w:hAnsi="Times New Roman" w:cs="Times New Roman"/>
        </w:rPr>
        <w:t xml:space="preserve">Yahoo Finance for </w:t>
      </w:r>
      <w:r w:rsidR="00A83F71" w:rsidRPr="00141203">
        <w:rPr>
          <w:rFonts w:ascii="Times New Roman" w:hAnsi="Times New Roman" w:cs="Times New Roman"/>
        </w:rPr>
        <w:t>different stocks and their related financial ratios</w:t>
      </w:r>
      <w:r w:rsidR="00A83F71" w:rsidRPr="00141203">
        <w:rPr>
          <w:rFonts w:ascii="Times New Roman" w:hAnsi="Times New Roman" w:cs="Times New Roman"/>
        </w:rPr>
        <w:t>.</w:t>
      </w:r>
      <w:r w:rsidR="00A83F71" w:rsidRPr="00141203">
        <w:rPr>
          <w:rFonts w:ascii="Times New Roman" w:hAnsi="Times New Roman" w:cs="Times New Roman"/>
        </w:rPr>
        <w:t xml:space="preserve"> </w:t>
      </w:r>
      <w:r w:rsidR="002670EF" w:rsidRPr="00141203">
        <w:rPr>
          <w:rFonts w:ascii="Times New Roman" w:hAnsi="Times New Roman" w:cs="Times New Roman"/>
        </w:rPr>
        <w:t>Second, Wikipedia</w:t>
      </w:r>
      <w:r w:rsidR="00A83F71" w:rsidRPr="00141203">
        <w:rPr>
          <w:rFonts w:ascii="Times New Roman" w:hAnsi="Times New Roman" w:cs="Times New Roman"/>
        </w:rPr>
        <w:t xml:space="preserve"> </w:t>
      </w:r>
      <w:r w:rsidR="00BA02A6" w:rsidRPr="00141203">
        <w:rPr>
          <w:rFonts w:ascii="Times New Roman" w:hAnsi="Times New Roman" w:cs="Times New Roman"/>
        </w:rPr>
        <w:t xml:space="preserve">for the </w:t>
      </w:r>
      <w:r w:rsidR="00471A5A" w:rsidRPr="00141203">
        <w:rPr>
          <w:rFonts w:ascii="Times New Roman" w:hAnsi="Times New Roman" w:cs="Times New Roman"/>
        </w:rPr>
        <w:t>S</w:t>
      </w:r>
      <w:r w:rsidR="00601383" w:rsidRPr="00141203">
        <w:rPr>
          <w:rFonts w:ascii="Times New Roman" w:hAnsi="Times New Roman" w:cs="Times New Roman"/>
        </w:rPr>
        <w:t>&amp;P 500</w:t>
      </w:r>
      <w:r w:rsidR="00A83F71" w:rsidRPr="00141203">
        <w:rPr>
          <w:rFonts w:ascii="Times New Roman" w:hAnsi="Times New Roman" w:cs="Times New Roman"/>
        </w:rPr>
        <w:t xml:space="preserve"> </w:t>
      </w:r>
      <w:r w:rsidR="008F75A0" w:rsidRPr="00141203">
        <w:rPr>
          <w:rFonts w:ascii="Times New Roman" w:hAnsi="Times New Roman" w:cs="Times New Roman"/>
        </w:rPr>
        <w:t>ticker list.</w:t>
      </w:r>
      <w:r w:rsidR="00A83F71" w:rsidRPr="00141203">
        <w:rPr>
          <w:rFonts w:ascii="Times New Roman" w:hAnsi="Times New Roman" w:cs="Times New Roman"/>
        </w:rPr>
        <w:t xml:space="preserve"> </w:t>
      </w:r>
      <w:r w:rsidR="008F75A0" w:rsidRPr="00141203">
        <w:rPr>
          <w:rFonts w:ascii="Times New Roman" w:hAnsi="Times New Roman" w:cs="Times New Roman"/>
        </w:rPr>
        <w:t>Lastly</w:t>
      </w:r>
      <w:r w:rsidR="00A83F71" w:rsidRPr="00141203">
        <w:rPr>
          <w:rFonts w:ascii="Times New Roman" w:hAnsi="Times New Roman" w:cs="Times New Roman"/>
        </w:rPr>
        <w:t>, we web</w:t>
      </w:r>
      <w:r w:rsidR="008A255F" w:rsidRPr="00141203">
        <w:rPr>
          <w:rFonts w:ascii="Times New Roman" w:hAnsi="Times New Roman" w:cs="Times New Roman"/>
        </w:rPr>
        <w:t xml:space="preserve"> </w:t>
      </w:r>
      <w:r w:rsidR="003D5B0D" w:rsidRPr="00141203">
        <w:rPr>
          <w:rFonts w:ascii="Times New Roman" w:hAnsi="Times New Roman" w:cs="Times New Roman"/>
        </w:rPr>
        <w:t>scraped</w:t>
      </w:r>
      <w:r w:rsidR="00A83F71" w:rsidRPr="00141203">
        <w:rPr>
          <w:rFonts w:ascii="Times New Roman" w:hAnsi="Times New Roman" w:cs="Times New Roman"/>
        </w:rPr>
        <w:t xml:space="preserve"> </w:t>
      </w:r>
      <w:r w:rsidR="00A83F71" w:rsidRPr="00141203">
        <w:rPr>
          <w:rFonts w:ascii="Times New Roman" w:hAnsi="Times New Roman" w:cs="Times New Roman"/>
        </w:rPr>
        <w:t xml:space="preserve">a website titled </w:t>
      </w:r>
      <w:r w:rsidR="008A255F" w:rsidRPr="00141203">
        <w:rPr>
          <w:rFonts w:ascii="Times New Roman" w:hAnsi="Times New Roman" w:cs="Times New Roman"/>
        </w:rPr>
        <w:t>Sustainalytics</w:t>
      </w:r>
      <w:r w:rsidR="0050118A" w:rsidRPr="00141203">
        <w:rPr>
          <w:rFonts w:ascii="Times New Roman" w:hAnsi="Times New Roman" w:cs="Times New Roman"/>
        </w:rPr>
        <w:t xml:space="preserve">: ESG </w:t>
      </w:r>
      <w:proofErr w:type="gramStart"/>
      <w:r w:rsidR="0050118A" w:rsidRPr="00141203">
        <w:rPr>
          <w:rFonts w:ascii="Times New Roman" w:hAnsi="Times New Roman" w:cs="Times New Roman"/>
        </w:rPr>
        <w:t xml:space="preserve">scores </w:t>
      </w:r>
      <w:r w:rsidR="005A4E37" w:rsidRPr="00141203">
        <w:rPr>
          <w:rFonts w:ascii="Times New Roman" w:hAnsi="Times New Roman" w:cs="Times New Roman"/>
        </w:rPr>
        <w:t>,</w:t>
      </w:r>
      <w:proofErr w:type="gramEnd"/>
      <w:r w:rsidR="005A4E37" w:rsidRPr="00141203">
        <w:rPr>
          <w:rFonts w:ascii="Times New Roman" w:hAnsi="Times New Roman" w:cs="Times New Roman"/>
        </w:rPr>
        <w:t xml:space="preserve"> for ESG data. </w:t>
      </w:r>
    </w:p>
    <w:p w14:paraId="546F0243" w14:textId="740CF7C2" w:rsidR="008D233B" w:rsidRPr="00141203" w:rsidRDefault="008D233B" w:rsidP="00141203">
      <w:pPr>
        <w:spacing w:line="360" w:lineRule="auto"/>
        <w:rPr>
          <w:rFonts w:ascii="Times New Roman" w:hAnsi="Times New Roman" w:cs="Times New Roman"/>
          <w:i/>
        </w:rPr>
      </w:pPr>
      <w:r w:rsidRPr="00141203">
        <w:rPr>
          <w:rFonts w:ascii="Times New Roman" w:hAnsi="Times New Roman" w:cs="Times New Roman"/>
          <w:i/>
        </w:rPr>
        <w:t xml:space="preserve">2.1 </w:t>
      </w:r>
      <w:r w:rsidR="00FC3D30" w:rsidRPr="00141203">
        <w:rPr>
          <w:rFonts w:ascii="Times New Roman" w:hAnsi="Times New Roman" w:cs="Times New Roman"/>
          <w:i/>
        </w:rPr>
        <w:t>ESG</w:t>
      </w:r>
      <w:r w:rsidRPr="00141203">
        <w:rPr>
          <w:rFonts w:ascii="Times New Roman" w:hAnsi="Times New Roman" w:cs="Times New Roman"/>
          <w:i/>
        </w:rPr>
        <w:t xml:space="preserve"> Scores</w:t>
      </w:r>
    </w:p>
    <w:p w14:paraId="3458DE45" w14:textId="4F3EB1EC" w:rsidR="005A4E37" w:rsidRPr="00141203" w:rsidRDefault="008D233B" w:rsidP="00141203">
      <w:pPr>
        <w:spacing w:line="360" w:lineRule="auto"/>
        <w:rPr>
          <w:rFonts w:ascii="Times New Roman" w:hAnsi="Times New Roman" w:cs="Times New Roman"/>
        </w:rPr>
      </w:pPr>
      <w:r w:rsidRPr="00141203">
        <w:rPr>
          <w:rFonts w:ascii="Times New Roman" w:hAnsi="Times New Roman" w:cs="Times New Roman"/>
        </w:rPr>
        <w:t xml:space="preserve">I collected </w:t>
      </w:r>
      <w:r w:rsidR="007A3824" w:rsidRPr="00141203">
        <w:rPr>
          <w:rFonts w:ascii="Times New Roman" w:hAnsi="Times New Roman" w:cs="Times New Roman"/>
        </w:rPr>
        <w:t xml:space="preserve">this </w:t>
      </w:r>
      <w:r w:rsidRPr="00141203">
        <w:rPr>
          <w:rFonts w:ascii="Times New Roman" w:hAnsi="Times New Roman" w:cs="Times New Roman"/>
        </w:rPr>
        <w:t xml:space="preserve">data from </w:t>
      </w:r>
      <w:r w:rsidR="002B2A93" w:rsidRPr="00141203">
        <w:rPr>
          <w:rFonts w:ascii="Times New Roman" w:hAnsi="Times New Roman" w:cs="Times New Roman"/>
        </w:rPr>
        <w:t>Sustain</w:t>
      </w:r>
      <w:r w:rsidR="0050118A" w:rsidRPr="00141203">
        <w:rPr>
          <w:rFonts w:ascii="Times New Roman" w:hAnsi="Times New Roman" w:cs="Times New Roman"/>
        </w:rPr>
        <w:t xml:space="preserve"> Analytics</w:t>
      </w:r>
      <w:r w:rsidR="007E741F" w:rsidRPr="00141203">
        <w:rPr>
          <w:rFonts w:ascii="Times New Roman" w:hAnsi="Times New Roman" w:cs="Times New Roman"/>
        </w:rPr>
        <w:t xml:space="preserve"> </w:t>
      </w:r>
      <w:r w:rsidRPr="00141203">
        <w:rPr>
          <w:rFonts w:ascii="Times New Roman" w:hAnsi="Times New Roman" w:cs="Times New Roman"/>
        </w:rPr>
        <w:t xml:space="preserve">for each </w:t>
      </w:r>
      <w:r w:rsidR="002C5FEE" w:rsidRPr="00141203">
        <w:rPr>
          <w:rFonts w:ascii="Times New Roman" w:hAnsi="Times New Roman" w:cs="Times New Roman"/>
        </w:rPr>
        <w:t>ticker symbol we</w:t>
      </w:r>
      <w:r w:rsidRPr="00141203">
        <w:rPr>
          <w:rFonts w:ascii="Times New Roman" w:hAnsi="Times New Roman" w:cs="Times New Roman"/>
        </w:rPr>
        <w:t xml:space="preserve"> wrote a web crawling script to collect all data</w:t>
      </w:r>
      <w:r w:rsidR="007E741F" w:rsidRPr="00141203">
        <w:rPr>
          <w:rFonts w:ascii="Times New Roman" w:hAnsi="Times New Roman" w:cs="Times New Roman"/>
        </w:rPr>
        <w:t xml:space="preserve"> </w:t>
      </w:r>
      <w:r w:rsidR="008B22A6" w:rsidRPr="00141203">
        <w:rPr>
          <w:rFonts w:ascii="Times New Roman" w:hAnsi="Times New Roman" w:cs="Times New Roman"/>
        </w:rPr>
        <w:t xml:space="preserve">across </w:t>
      </w:r>
      <w:r w:rsidR="00111F5E" w:rsidRPr="00141203">
        <w:rPr>
          <w:rFonts w:ascii="Times New Roman" w:hAnsi="Times New Roman" w:cs="Times New Roman"/>
        </w:rPr>
        <w:t>the website</w:t>
      </w:r>
      <w:r w:rsidR="008B22A6" w:rsidRPr="00141203">
        <w:rPr>
          <w:rFonts w:ascii="Times New Roman" w:hAnsi="Times New Roman" w:cs="Times New Roman"/>
        </w:rPr>
        <w:t xml:space="preserve"> </w:t>
      </w:r>
      <w:r w:rsidR="00AE03F2" w:rsidRPr="00141203">
        <w:rPr>
          <w:rFonts w:ascii="Times New Roman" w:hAnsi="Times New Roman" w:cs="Times New Roman"/>
        </w:rPr>
        <w:t>w</w:t>
      </w:r>
      <w:r w:rsidR="00923536" w:rsidRPr="00141203">
        <w:rPr>
          <w:rFonts w:ascii="Times New Roman" w:hAnsi="Times New Roman" w:cs="Times New Roman"/>
        </w:rPr>
        <w:t>e</w:t>
      </w:r>
      <w:r w:rsidR="008B22A6" w:rsidRPr="00141203">
        <w:rPr>
          <w:rFonts w:ascii="Times New Roman" w:hAnsi="Times New Roman" w:cs="Times New Roman"/>
        </w:rPr>
        <w:t xml:space="preserve"> collected Ticker </w:t>
      </w:r>
      <w:r w:rsidR="00111F5E" w:rsidRPr="00141203">
        <w:rPr>
          <w:rFonts w:ascii="Times New Roman" w:hAnsi="Times New Roman" w:cs="Times New Roman"/>
        </w:rPr>
        <w:t>symbol</w:t>
      </w:r>
      <w:r w:rsidR="008B22A6" w:rsidRPr="00141203">
        <w:rPr>
          <w:rFonts w:ascii="Times New Roman" w:hAnsi="Times New Roman" w:cs="Times New Roman"/>
        </w:rPr>
        <w:t xml:space="preserve"> </w:t>
      </w:r>
      <w:r w:rsidR="00E64768" w:rsidRPr="00141203">
        <w:rPr>
          <w:rFonts w:ascii="Times New Roman" w:hAnsi="Times New Roman" w:cs="Times New Roman"/>
        </w:rPr>
        <w:t>and</w:t>
      </w:r>
      <w:r w:rsidR="008B22A6" w:rsidRPr="00141203">
        <w:rPr>
          <w:rFonts w:ascii="Times New Roman" w:hAnsi="Times New Roman" w:cs="Times New Roman"/>
        </w:rPr>
        <w:t xml:space="preserve"> </w:t>
      </w:r>
      <w:r w:rsidR="00BF3A22" w:rsidRPr="00141203">
        <w:rPr>
          <w:rFonts w:ascii="Times New Roman" w:hAnsi="Times New Roman" w:cs="Times New Roman"/>
        </w:rPr>
        <w:t xml:space="preserve">ESG </w:t>
      </w:r>
      <w:r w:rsidR="001B6B67" w:rsidRPr="00141203">
        <w:rPr>
          <w:rFonts w:ascii="Times New Roman" w:hAnsi="Times New Roman" w:cs="Times New Roman"/>
        </w:rPr>
        <w:t>ri</w:t>
      </w:r>
      <w:r w:rsidR="001F4BBA" w:rsidRPr="00141203">
        <w:rPr>
          <w:rFonts w:ascii="Times New Roman" w:hAnsi="Times New Roman" w:cs="Times New Roman"/>
        </w:rPr>
        <w:t xml:space="preserve">sk rating </w:t>
      </w:r>
      <w:r w:rsidR="00842854" w:rsidRPr="00141203">
        <w:rPr>
          <w:rFonts w:ascii="Times New Roman" w:hAnsi="Times New Roman" w:cs="Times New Roman"/>
        </w:rPr>
        <w:t xml:space="preserve">for 1400 </w:t>
      </w:r>
      <w:r w:rsidR="000109A8" w:rsidRPr="00141203">
        <w:rPr>
          <w:rFonts w:ascii="Times New Roman" w:hAnsi="Times New Roman" w:cs="Times New Roman"/>
        </w:rPr>
        <w:t>companies</w:t>
      </w:r>
      <w:r w:rsidR="00CD0DCE" w:rsidRPr="00141203">
        <w:rPr>
          <w:rFonts w:ascii="Times New Roman" w:hAnsi="Times New Roman" w:cs="Times New Roman"/>
        </w:rPr>
        <w:t xml:space="preserve">. Some of the ticker symbols were duplicates which was important to consider </w:t>
      </w:r>
      <w:r w:rsidR="005B332A" w:rsidRPr="00141203">
        <w:rPr>
          <w:rFonts w:ascii="Times New Roman" w:hAnsi="Times New Roman" w:cs="Times New Roman"/>
        </w:rPr>
        <w:t xml:space="preserve">when I began cleaning the data. </w:t>
      </w:r>
      <w:r w:rsidR="005B332A" w:rsidRPr="00141203">
        <w:rPr>
          <w:rFonts w:ascii="Times New Roman" w:hAnsi="Times New Roman" w:cs="Times New Roman"/>
        </w:rPr>
        <w:t>Additionally</w:t>
      </w:r>
      <w:r w:rsidR="00C746A7" w:rsidRPr="00141203">
        <w:rPr>
          <w:rFonts w:ascii="Times New Roman" w:hAnsi="Times New Roman" w:cs="Times New Roman"/>
        </w:rPr>
        <w:t>,</w:t>
      </w:r>
      <w:r w:rsidR="005B332A" w:rsidRPr="00141203">
        <w:rPr>
          <w:rFonts w:ascii="Times New Roman" w:hAnsi="Times New Roman" w:cs="Times New Roman"/>
        </w:rPr>
        <w:t xml:space="preserve"> </w:t>
      </w:r>
      <w:r w:rsidR="004F71D3" w:rsidRPr="00141203">
        <w:rPr>
          <w:rFonts w:ascii="Times New Roman" w:hAnsi="Times New Roman" w:cs="Times New Roman"/>
        </w:rPr>
        <w:t xml:space="preserve">ESG risk </w:t>
      </w:r>
      <w:r w:rsidR="00521E49" w:rsidRPr="00141203">
        <w:rPr>
          <w:rFonts w:ascii="Times New Roman" w:hAnsi="Times New Roman" w:cs="Times New Roman"/>
        </w:rPr>
        <w:t xml:space="preserve">rating </w:t>
      </w:r>
      <w:r w:rsidR="009247FC" w:rsidRPr="00141203">
        <w:rPr>
          <w:rFonts w:ascii="Times New Roman" w:hAnsi="Times New Roman" w:cs="Times New Roman"/>
        </w:rPr>
        <w:t>was one column on the website we scraped however within that column there were two elements, ESG score and ESG risk category.</w:t>
      </w:r>
      <w:r w:rsidR="009247FC" w:rsidRPr="00141203">
        <w:rPr>
          <w:rFonts w:ascii="Times New Roman" w:hAnsi="Times New Roman" w:cs="Times New Roman"/>
        </w:rPr>
        <w:t xml:space="preserve"> </w:t>
      </w:r>
      <w:r w:rsidR="005B2290" w:rsidRPr="00141203">
        <w:rPr>
          <w:rFonts w:ascii="Times New Roman" w:hAnsi="Times New Roman" w:cs="Times New Roman"/>
        </w:rPr>
        <w:t>After scraping w</w:t>
      </w:r>
      <w:r w:rsidR="009247FC" w:rsidRPr="00141203">
        <w:rPr>
          <w:rFonts w:ascii="Times New Roman" w:hAnsi="Times New Roman" w:cs="Times New Roman"/>
        </w:rPr>
        <w:t xml:space="preserve">e split this column into two separate </w:t>
      </w:r>
      <w:r w:rsidR="00C746A7" w:rsidRPr="00141203">
        <w:rPr>
          <w:rFonts w:ascii="Times New Roman" w:hAnsi="Times New Roman" w:cs="Times New Roman"/>
        </w:rPr>
        <w:t>columns</w:t>
      </w:r>
      <w:r w:rsidR="009247FC" w:rsidRPr="00141203">
        <w:rPr>
          <w:rFonts w:ascii="Times New Roman" w:hAnsi="Times New Roman" w:cs="Times New Roman"/>
        </w:rPr>
        <w:t xml:space="preserve"> for our data frame. </w:t>
      </w:r>
    </w:p>
    <w:p w14:paraId="667A64BD" w14:textId="2C16D8EE" w:rsidR="008D233B" w:rsidRPr="00141203" w:rsidRDefault="000109EF" w:rsidP="00141203">
      <w:pPr>
        <w:pStyle w:val="ListParagraph"/>
        <w:numPr>
          <w:ilvl w:val="1"/>
          <w:numId w:val="11"/>
        </w:numPr>
        <w:spacing w:line="360" w:lineRule="auto"/>
        <w:rPr>
          <w:rFonts w:ascii="Times New Roman" w:hAnsi="Times New Roman" w:cs="Times New Roman"/>
          <w:i/>
          <w:iCs/>
        </w:rPr>
      </w:pPr>
      <w:r w:rsidRPr="00141203">
        <w:rPr>
          <w:rFonts w:ascii="Times New Roman" w:hAnsi="Times New Roman" w:cs="Times New Roman"/>
          <w:i/>
          <w:iCs/>
        </w:rPr>
        <w:lastRenderedPageBreak/>
        <w:t>S</w:t>
      </w:r>
      <w:r w:rsidR="00F52322" w:rsidRPr="00141203">
        <w:rPr>
          <w:rFonts w:ascii="Times New Roman" w:hAnsi="Times New Roman" w:cs="Times New Roman"/>
          <w:i/>
          <w:iCs/>
        </w:rPr>
        <w:t xml:space="preserve">&amp;P 500 financial information </w:t>
      </w:r>
    </w:p>
    <w:p w14:paraId="53F442FF" w14:textId="655F526E" w:rsidR="0088474E" w:rsidRPr="00141203" w:rsidRDefault="00B92559" w:rsidP="00141203">
      <w:pPr>
        <w:spacing w:line="360" w:lineRule="auto"/>
        <w:rPr>
          <w:rFonts w:ascii="Times New Roman" w:hAnsi="Times New Roman" w:cs="Times New Roman"/>
        </w:rPr>
      </w:pPr>
      <w:r w:rsidRPr="00141203">
        <w:rPr>
          <w:rFonts w:ascii="Times New Roman" w:hAnsi="Times New Roman" w:cs="Times New Roman"/>
        </w:rPr>
        <w:t xml:space="preserve">This data frame was a little more complex to create. </w:t>
      </w:r>
      <w:r w:rsidR="00923536" w:rsidRPr="00141203">
        <w:rPr>
          <w:rFonts w:ascii="Times New Roman" w:hAnsi="Times New Roman" w:cs="Times New Roman"/>
        </w:rPr>
        <w:t>We</w:t>
      </w:r>
      <w:r w:rsidRPr="00141203">
        <w:rPr>
          <w:rFonts w:ascii="Times New Roman" w:hAnsi="Times New Roman" w:cs="Times New Roman"/>
        </w:rPr>
        <w:t xml:space="preserve"> first had to scrape a </w:t>
      </w:r>
      <w:r w:rsidR="00E57DB0" w:rsidRPr="00141203">
        <w:rPr>
          <w:rFonts w:ascii="Times New Roman" w:hAnsi="Times New Roman" w:cs="Times New Roman"/>
        </w:rPr>
        <w:t>Wikipedia</w:t>
      </w:r>
      <w:r w:rsidR="003C4C0D" w:rsidRPr="00141203">
        <w:rPr>
          <w:rFonts w:ascii="Times New Roman" w:hAnsi="Times New Roman" w:cs="Times New Roman"/>
        </w:rPr>
        <w:t xml:space="preserve"> </w:t>
      </w:r>
      <w:r w:rsidR="00923536" w:rsidRPr="00141203">
        <w:rPr>
          <w:rFonts w:ascii="Times New Roman" w:hAnsi="Times New Roman" w:cs="Times New Roman"/>
        </w:rPr>
        <w:t xml:space="preserve">website for </w:t>
      </w:r>
      <w:r w:rsidR="00E57DB0" w:rsidRPr="00141203">
        <w:rPr>
          <w:rFonts w:ascii="Times New Roman" w:hAnsi="Times New Roman" w:cs="Times New Roman"/>
        </w:rPr>
        <w:t>the</w:t>
      </w:r>
      <w:r w:rsidR="00923536" w:rsidRPr="00141203">
        <w:rPr>
          <w:rFonts w:ascii="Times New Roman" w:hAnsi="Times New Roman" w:cs="Times New Roman"/>
        </w:rPr>
        <w:t xml:space="preserve"> ticker symbols </w:t>
      </w:r>
      <w:r w:rsidR="00E57DB0" w:rsidRPr="00141203">
        <w:rPr>
          <w:rFonts w:ascii="Times New Roman" w:hAnsi="Times New Roman" w:cs="Times New Roman"/>
        </w:rPr>
        <w:t xml:space="preserve">for the </w:t>
      </w:r>
      <w:r w:rsidR="006C7F65" w:rsidRPr="00141203">
        <w:rPr>
          <w:rFonts w:ascii="Times New Roman" w:hAnsi="Times New Roman" w:cs="Times New Roman"/>
        </w:rPr>
        <w:t>S&amp;P 500</w:t>
      </w:r>
      <w:r w:rsidR="006A7FA4" w:rsidRPr="00141203">
        <w:rPr>
          <w:rFonts w:ascii="Times New Roman" w:hAnsi="Times New Roman" w:cs="Times New Roman"/>
        </w:rPr>
        <w:t xml:space="preserve"> stocks. Then from that data I created a list that I looped through and imported y fin</w:t>
      </w:r>
      <w:r w:rsidR="006F1189" w:rsidRPr="00141203">
        <w:rPr>
          <w:rFonts w:ascii="Times New Roman" w:hAnsi="Times New Roman" w:cs="Times New Roman"/>
        </w:rPr>
        <w:t xml:space="preserve">ance </w:t>
      </w:r>
      <w:r w:rsidR="00670980" w:rsidRPr="00141203">
        <w:rPr>
          <w:rFonts w:ascii="Times New Roman" w:hAnsi="Times New Roman" w:cs="Times New Roman"/>
        </w:rPr>
        <w:t xml:space="preserve">information to gather P/E ratio, </w:t>
      </w:r>
      <w:r w:rsidR="008F41D3" w:rsidRPr="00141203">
        <w:rPr>
          <w:rFonts w:ascii="Times New Roman" w:hAnsi="Times New Roman" w:cs="Times New Roman"/>
        </w:rPr>
        <w:t>Operating Income,</w:t>
      </w:r>
      <w:r w:rsidR="00670980" w:rsidRPr="00141203">
        <w:rPr>
          <w:rFonts w:ascii="Times New Roman" w:hAnsi="Times New Roman" w:cs="Times New Roman"/>
        </w:rPr>
        <w:t xml:space="preserve"> Forward P/E, EBITDA, </w:t>
      </w:r>
      <w:r w:rsidR="00F77EF6" w:rsidRPr="00141203">
        <w:rPr>
          <w:rFonts w:ascii="Times New Roman" w:hAnsi="Times New Roman" w:cs="Times New Roman"/>
        </w:rPr>
        <w:t xml:space="preserve">Sector, </w:t>
      </w:r>
      <w:r w:rsidR="0009287A" w:rsidRPr="00141203">
        <w:rPr>
          <w:rFonts w:ascii="Times New Roman" w:hAnsi="Times New Roman" w:cs="Times New Roman"/>
        </w:rPr>
        <w:t>Net Income, Revenue</w:t>
      </w:r>
      <w:r w:rsidR="005E23D1" w:rsidRPr="00141203">
        <w:rPr>
          <w:rFonts w:ascii="Times New Roman" w:hAnsi="Times New Roman" w:cs="Times New Roman"/>
        </w:rPr>
        <w:t xml:space="preserve">, Market </w:t>
      </w:r>
      <w:r w:rsidR="0088474E" w:rsidRPr="00141203">
        <w:rPr>
          <w:rFonts w:ascii="Times New Roman" w:hAnsi="Times New Roman" w:cs="Times New Roman"/>
        </w:rPr>
        <w:t>Cap, and Gross Profits.</w:t>
      </w:r>
    </w:p>
    <w:p w14:paraId="7A175538" w14:textId="126B2240" w:rsidR="0048243E" w:rsidRPr="00141203" w:rsidRDefault="005D22FB" w:rsidP="00141203">
      <w:pPr>
        <w:spacing w:line="360" w:lineRule="auto"/>
        <w:rPr>
          <w:rFonts w:ascii="Times New Roman" w:hAnsi="Times New Roman" w:cs="Times New Roman"/>
        </w:rPr>
      </w:pPr>
      <w:r w:rsidRPr="00141203">
        <w:rPr>
          <w:rFonts w:ascii="Times New Roman" w:hAnsi="Times New Roman" w:cs="Times New Roman"/>
        </w:rPr>
        <w:t xml:space="preserve">In terms of </w:t>
      </w:r>
      <w:r w:rsidR="008F41D3" w:rsidRPr="00141203">
        <w:rPr>
          <w:rFonts w:ascii="Times New Roman" w:hAnsi="Times New Roman" w:cs="Times New Roman"/>
        </w:rPr>
        <w:t>cleaning,</w:t>
      </w:r>
      <w:r w:rsidRPr="00141203">
        <w:rPr>
          <w:rFonts w:ascii="Times New Roman" w:hAnsi="Times New Roman" w:cs="Times New Roman"/>
        </w:rPr>
        <w:t xml:space="preserve"> I dropped </w:t>
      </w:r>
      <w:r w:rsidR="008F41D3" w:rsidRPr="00141203">
        <w:rPr>
          <w:rFonts w:ascii="Times New Roman" w:hAnsi="Times New Roman" w:cs="Times New Roman"/>
        </w:rPr>
        <w:t>the Operating Income column due to missing values</w:t>
      </w:r>
      <w:r w:rsidR="00CE45C1" w:rsidRPr="00141203">
        <w:rPr>
          <w:rFonts w:ascii="Times New Roman" w:hAnsi="Times New Roman" w:cs="Times New Roman"/>
        </w:rPr>
        <w:t xml:space="preserve">. </w:t>
      </w:r>
      <w:r w:rsidR="0048243E" w:rsidRPr="00141203">
        <w:rPr>
          <w:rFonts w:ascii="Times New Roman" w:hAnsi="Times New Roman" w:cs="Times New Roman"/>
        </w:rPr>
        <w:t xml:space="preserve">This was done in the </w:t>
      </w:r>
      <w:proofErr w:type="spellStart"/>
      <w:r w:rsidR="0048243E" w:rsidRPr="00141203">
        <w:rPr>
          <w:rFonts w:ascii="Times New Roman" w:hAnsi="Times New Roman" w:cs="Times New Roman"/>
        </w:rPr>
        <w:t>Final_Dataframe_Cleaning.ipynb</w:t>
      </w:r>
      <w:proofErr w:type="spellEnd"/>
    </w:p>
    <w:p w14:paraId="1E8A2C5A" w14:textId="605356EE" w:rsidR="0048243E" w:rsidRPr="00141203" w:rsidRDefault="0048243E" w:rsidP="00141203">
      <w:pPr>
        <w:pStyle w:val="ListParagraph"/>
        <w:numPr>
          <w:ilvl w:val="1"/>
          <w:numId w:val="11"/>
        </w:numPr>
        <w:spacing w:line="360" w:lineRule="auto"/>
        <w:rPr>
          <w:rFonts w:ascii="Times New Roman" w:hAnsi="Times New Roman" w:cs="Times New Roman"/>
          <w:i/>
          <w:iCs/>
        </w:rPr>
      </w:pPr>
      <w:r w:rsidRPr="00141203">
        <w:rPr>
          <w:rFonts w:ascii="Times New Roman" w:hAnsi="Times New Roman" w:cs="Times New Roman"/>
          <w:i/>
          <w:iCs/>
        </w:rPr>
        <w:t>Combining Finan</w:t>
      </w:r>
      <w:r w:rsidR="00B06BDF" w:rsidRPr="00141203">
        <w:rPr>
          <w:rFonts w:ascii="Times New Roman" w:hAnsi="Times New Roman" w:cs="Times New Roman"/>
          <w:i/>
          <w:iCs/>
        </w:rPr>
        <w:t xml:space="preserve">cial Data with ESG data </w:t>
      </w:r>
    </w:p>
    <w:p w14:paraId="52F845A4" w14:textId="5F1E0CB6" w:rsidR="00621A12" w:rsidRPr="00141203" w:rsidRDefault="00B06BDF" w:rsidP="00141203">
      <w:pPr>
        <w:spacing w:line="360" w:lineRule="auto"/>
        <w:rPr>
          <w:rFonts w:ascii="Times New Roman" w:hAnsi="Times New Roman" w:cs="Times New Roman"/>
        </w:rPr>
      </w:pPr>
      <w:r w:rsidRPr="00141203">
        <w:rPr>
          <w:rFonts w:ascii="Times New Roman" w:hAnsi="Times New Roman" w:cs="Times New Roman"/>
        </w:rPr>
        <w:t>Sin</w:t>
      </w:r>
      <w:r w:rsidR="00A257BD" w:rsidRPr="00141203">
        <w:rPr>
          <w:rFonts w:ascii="Times New Roman" w:hAnsi="Times New Roman" w:cs="Times New Roman"/>
        </w:rPr>
        <w:t>c</w:t>
      </w:r>
      <w:r w:rsidRPr="00141203">
        <w:rPr>
          <w:rFonts w:ascii="Times New Roman" w:hAnsi="Times New Roman" w:cs="Times New Roman"/>
        </w:rPr>
        <w:t>e both of my data sets included a ticker symbol and company name</w:t>
      </w:r>
      <w:r w:rsidR="009B3700" w:rsidRPr="00141203">
        <w:rPr>
          <w:rFonts w:ascii="Times New Roman" w:hAnsi="Times New Roman" w:cs="Times New Roman"/>
        </w:rPr>
        <w:t>,</w:t>
      </w:r>
      <w:r w:rsidRPr="00141203">
        <w:rPr>
          <w:rFonts w:ascii="Times New Roman" w:hAnsi="Times New Roman" w:cs="Times New Roman"/>
        </w:rPr>
        <w:t xml:space="preserve"> I </w:t>
      </w:r>
      <w:r w:rsidR="0083220A" w:rsidRPr="00141203">
        <w:rPr>
          <w:rFonts w:ascii="Times New Roman" w:hAnsi="Times New Roman" w:cs="Times New Roman"/>
        </w:rPr>
        <w:t xml:space="preserve">initially merged the two data sets </w:t>
      </w:r>
      <w:r w:rsidR="009B3700" w:rsidRPr="00141203">
        <w:rPr>
          <w:rFonts w:ascii="Times New Roman" w:hAnsi="Times New Roman" w:cs="Times New Roman"/>
        </w:rPr>
        <w:t xml:space="preserve">with a left join on ticker symbol. However, the company names in each of the datasets were not consistent so I had to do research to </w:t>
      </w:r>
      <w:r w:rsidR="006A5497" w:rsidRPr="00141203">
        <w:rPr>
          <w:rFonts w:ascii="Times New Roman" w:hAnsi="Times New Roman" w:cs="Times New Roman"/>
        </w:rPr>
        <w:t>find</w:t>
      </w:r>
      <w:r w:rsidR="009B3700" w:rsidRPr="00141203">
        <w:rPr>
          <w:rFonts w:ascii="Times New Roman" w:hAnsi="Times New Roman" w:cs="Times New Roman"/>
        </w:rPr>
        <w:t xml:space="preserve"> function that kept</w:t>
      </w:r>
      <w:r w:rsidR="00FE225F" w:rsidRPr="00141203">
        <w:rPr>
          <w:rFonts w:ascii="Times New Roman" w:hAnsi="Times New Roman" w:cs="Times New Roman"/>
        </w:rPr>
        <w:t xml:space="preserve"> rows where the company names in the ESG and financial </w:t>
      </w:r>
      <w:r w:rsidR="00233322" w:rsidRPr="00141203">
        <w:rPr>
          <w:rFonts w:ascii="Times New Roman" w:hAnsi="Times New Roman" w:cs="Times New Roman"/>
        </w:rPr>
        <w:t>data frames</w:t>
      </w:r>
      <w:r w:rsidR="00FE225F" w:rsidRPr="00141203">
        <w:rPr>
          <w:rFonts w:ascii="Times New Roman" w:hAnsi="Times New Roman" w:cs="Times New Roman"/>
        </w:rPr>
        <w:t xml:space="preserve"> were similar. </w:t>
      </w:r>
      <w:r w:rsidR="008D1420" w:rsidRPr="00141203">
        <w:rPr>
          <w:rFonts w:ascii="Times New Roman" w:hAnsi="Times New Roman" w:cs="Times New Roman"/>
        </w:rPr>
        <w:t xml:space="preserve">From the </w:t>
      </w:r>
      <w:proofErr w:type="spellStart"/>
      <w:r w:rsidR="008D1420" w:rsidRPr="00141203">
        <w:rPr>
          <w:rFonts w:ascii="Times New Roman" w:hAnsi="Times New Roman" w:cs="Times New Roman"/>
        </w:rPr>
        <w:t>difflib</w:t>
      </w:r>
      <w:proofErr w:type="spellEnd"/>
      <w:r w:rsidR="008D1420" w:rsidRPr="00141203">
        <w:rPr>
          <w:rFonts w:ascii="Times New Roman" w:hAnsi="Times New Roman" w:cs="Times New Roman"/>
        </w:rPr>
        <w:t xml:space="preserve"> library, I imported </w:t>
      </w:r>
      <w:r w:rsidR="00B340A4" w:rsidRPr="00141203">
        <w:rPr>
          <w:rFonts w:ascii="Times New Roman" w:hAnsi="Times New Roman" w:cs="Times New Roman"/>
        </w:rPr>
        <w:t>Sequence Matcher</w:t>
      </w:r>
      <w:r w:rsidR="008D1420" w:rsidRPr="00141203">
        <w:rPr>
          <w:rFonts w:ascii="Times New Roman" w:hAnsi="Times New Roman" w:cs="Times New Roman"/>
        </w:rPr>
        <w:t xml:space="preserve">. </w:t>
      </w:r>
      <w:r w:rsidR="00FE225F" w:rsidRPr="00141203">
        <w:rPr>
          <w:rFonts w:ascii="Times New Roman" w:hAnsi="Times New Roman" w:cs="Times New Roman"/>
        </w:rPr>
        <w:t xml:space="preserve">I set the </w:t>
      </w:r>
      <w:r w:rsidR="00233322" w:rsidRPr="00141203">
        <w:rPr>
          <w:rFonts w:ascii="Times New Roman" w:hAnsi="Times New Roman" w:cs="Times New Roman"/>
        </w:rPr>
        <w:t>threshold to 0.45. Then</w:t>
      </w:r>
      <w:r w:rsidR="00542625" w:rsidRPr="00141203">
        <w:rPr>
          <w:rFonts w:ascii="Times New Roman" w:hAnsi="Times New Roman" w:cs="Times New Roman"/>
        </w:rPr>
        <w:t xml:space="preserve"> I </w:t>
      </w:r>
      <w:r w:rsidR="00233322" w:rsidRPr="00141203">
        <w:rPr>
          <w:rFonts w:ascii="Times New Roman" w:hAnsi="Times New Roman" w:cs="Times New Roman"/>
        </w:rPr>
        <w:t xml:space="preserve">did one step further and </w:t>
      </w:r>
      <w:r w:rsidR="00542625" w:rsidRPr="00141203">
        <w:rPr>
          <w:rFonts w:ascii="Times New Roman" w:hAnsi="Times New Roman" w:cs="Times New Roman"/>
        </w:rPr>
        <w:t xml:space="preserve">used the duplicated function in python to print the duplicated ticker symbols and opened the CSV in excel to remove the </w:t>
      </w:r>
      <w:r w:rsidR="00233322" w:rsidRPr="00141203">
        <w:rPr>
          <w:rFonts w:ascii="Times New Roman" w:hAnsi="Times New Roman" w:cs="Times New Roman"/>
        </w:rPr>
        <w:t>remaining</w:t>
      </w:r>
      <w:r w:rsidR="00542625" w:rsidRPr="00141203">
        <w:rPr>
          <w:rFonts w:ascii="Times New Roman" w:hAnsi="Times New Roman" w:cs="Times New Roman"/>
        </w:rPr>
        <w:t xml:space="preserve"> </w:t>
      </w:r>
      <w:r w:rsidR="00233322" w:rsidRPr="00141203">
        <w:rPr>
          <w:rFonts w:ascii="Times New Roman" w:hAnsi="Times New Roman" w:cs="Times New Roman"/>
        </w:rPr>
        <w:t>ESG</w:t>
      </w:r>
      <w:r w:rsidR="00542625" w:rsidRPr="00141203">
        <w:rPr>
          <w:rFonts w:ascii="Times New Roman" w:hAnsi="Times New Roman" w:cs="Times New Roman"/>
        </w:rPr>
        <w:t xml:space="preserve"> </w:t>
      </w:r>
      <w:r w:rsidR="00233322" w:rsidRPr="00141203">
        <w:rPr>
          <w:rFonts w:ascii="Times New Roman" w:hAnsi="Times New Roman" w:cs="Times New Roman"/>
        </w:rPr>
        <w:t>company names</w:t>
      </w:r>
      <w:r w:rsidR="00542625" w:rsidRPr="00141203">
        <w:rPr>
          <w:rFonts w:ascii="Times New Roman" w:hAnsi="Times New Roman" w:cs="Times New Roman"/>
        </w:rPr>
        <w:t xml:space="preserve"> that didn’t line up with the Yahoo Finance S&amp;P 500 data. </w:t>
      </w:r>
      <w:r w:rsidR="00F40EAE" w:rsidRPr="00141203">
        <w:rPr>
          <w:rFonts w:ascii="Times New Roman" w:hAnsi="Times New Roman" w:cs="Times New Roman"/>
        </w:rPr>
        <w:t>Lastly</w:t>
      </w:r>
      <w:r w:rsidR="00233322" w:rsidRPr="00141203">
        <w:rPr>
          <w:rFonts w:ascii="Times New Roman" w:hAnsi="Times New Roman" w:cs="Times New Roman"/>
        </w:rPr>
        <w:t>,</w:t>
      </w:r>
      <w:r w:rsidR="00F40EAE" w:rsidRPr="00141203">
        <w:rPr>
          <w:rFonts w:ascii="Times New Roman" w:hAnsi="Times New Roman" w:cs="Times New Roman"/>
        </w:rPr>
        <w:t xml:space="preserve"> </w:t>
      </w:r>
      <w:r w:rsidR="00880F26" w:rsidRPr="00141203">
        <w:rPr>
          <w:rFonts w:ascii="Times New Roman" w:hAnsi="Times New Roman" w:cs="Times New Roman"/>
        </w:rPr>
        <w:t xml:space="preserve">I checked for rows with missing values and dropped them in Python and saved the final merged model </w:t>
      </w:r>
      <w:r w:rsidR="00F023DB" w:rsidRPr="00141203">
        <w:rPr>
          <w:rFonts w:ascii="Times New Roman" w:hAnsi="Times New Roman" w:cs="Times New Roman"/>
        </w:rPr>
        <w:t>data frame</w:t>
      </w:r>
      <w:r w:rsidR="00880F26" w:rsidRPr="00141203">
        <w:rPr>
          <w:rFonts w:ascii="Times New Roman" w:hAnsi="Times New Roman" w:cs="Times New Roman"/>
        </w:rPr>
        <w:t xml:space="preserve"> to a CSV for analysis. </w:t>
      </w:r>
      <w:r w:rsidR="00F023DB" w:rsidRPr="00141203">
        <w:rPr>
          <w:rFonts w:ascii="Times New Roman" w:hAnsi="Times New Roman" w:cs="Times New Roman"/>
        </w:rPr>
        <w:t xml:space="preserve">This Cleaning was done in the file </w:t>
      </w:r>
      <w:proofErr w:type="spellStart"/>
      <w:r w:rsidR="001F4A5C" w:rsidRPr="00141203">
        <w:rPr>
          <w:rFonts w:ascii="Times New Roman" w:hAnsi="Times New Roman" w:cs="Times New Roman"/>
        </w:rPr>
        <w:t>Final_Dataframe_Cleaning.ipy</w:t>
      </w:r>
      <w:r w:rsidR="00117E57" w:rsidRPr="00141203">
        <w:rPr>
          <w:rFonts w:ascii="Times New Roman" w:hAnsi="Times New Roman" w:cs="Times New Roman"/>
        </w:rPr>
        <w:t>nb</w:t>
      </w:r>
      <w:proofErr w:type="spellEnd"/>
      <w:r w:rsidR="00117E57" w:rsidRPr="00141203">
        <w:rPr>
          <w:rFonts w:ascii="Times New Roman" w:hAnsi="Times New Roman" w:cs="Times New Roman"/>
        </w:rPr>
        <w:t>.</w:t>
      </w:r>
      <w:r w:rsidR="00507C52" w:rsidRPr="00141203">
        <w:rPr>
          <w:rFonts w:ascii="Times New Roman" w:hAnsi="Times New Roman" w:cs="Times New Roman"/>
        </w:rPr>
        <w:t xml:space="preserve"> </w:t>
      </w:r>
      <w:r w:rsidR="00A44E7F" w:rsidRPr="00141203">
        <w:rPr>
          <w:rFonts w:ascii="Times New Roman" w:hAnsi="Times New Roman" w:cs="Times New Roman"/>
        </w:rPr>
        <w:t>A description of each variable is contained in Table 1.</w:t>
      </w:r>
    </w:p>
    <w:p w14:paraId="6F47319D" w14:textId="33937EBA" w:rsidR="00621A12" w:rsidRPr="00141203" w:rsidRDefault="00126D87" w:rsidP="00141203">
      <w:pPr>
        <w:spacing w:line="360" w:lineRule="auto"/>
        <w:rPr>
          <w:rFonts w:ascii="Times New Roman" w:hAnsi="Times New Roman" w:cs="Times New Roman"/>
          <w:i/>
          <w:iCs/>
        </w:rPr>
      </w:pPr>
      <w:r w:rsidRPr="00141203">
        <w:rPr>
          <w:rFonts w:ascii="Times New Roman" w:hAnsi="Times New Roman" w:cs="Times New Roman"/>
          <w:i/>
          <w:iCs/>
        </w:rPr>
        <w:t xml:space="preserve">Table 1 Data Dictionary </w:t>
      </w:r>
    </w:p>
    <w:tbl>
      <w:tblPr>
        <w:tblStyle w:val="TableGrid"/>
        <w:tblW w:w="9350" w:type="dxa"/>
        <w:tblLook w:val="04A0" w:firstRow="1" w:lastRow="0" w:firstColumn="1" w:lastColumn="0" w:noHBand="0" w:noVBand="1"/>
      </w:tblPr>
      <w:tblGrid>
        <w:gridCol w:w="1644"/>
        <w:gridCol w:w="1051"/>
        <w:gridCol w:w="3192"/>
        <w:gridCol w:w="3463"/>
      </w:tblGrid>
      <w:tr w:rsidR="00C57831" w:rsidRPr="00141203" w14:paraId="470C8312" w14:textId="77777777" w:rsidTr="00C57831">
        <w:trPr>
          <w:trHeight w:val="323"/>
        </w:trPr>
        <w:tc>
          <w:tcPr>
            <w:tcW w:w="1644" w:type="dxa"/>
            <w:hideMark/>
          </w:tcPr>
          <w:p w14:paraId="45CB562F" w14:textId="77777777" w:rsidR="00C57831" w:rsidRPr="00141203" w:rsidRDefault="00C57831" w:rsidP="00141203">
            <w:pPr>
              <w:spacing w:line="360" w:lineRule="auto"/>
              <w:jc w:val="center"/>
              <w:rPr>
                <w:rFonts w:ascii="Times New Roman" w:eastAsia="Times New Roman" w:hAnsi="Times New Roman" w:cs="Times New Roman"/>
                <w:b/>
                <w:bCs/>
                <w:color w:val="000000"/>
                <w:kern w:val="0"/>
                <w:lang w:eastAsia="zh-CN"/>
                <w14:ligatures w14:val="none"/>
              </w:rPr>
            </w:pPr>
            <w:r w:rsidRPr="00141203">
              <w:rPr>
                <w:rFonts w:ascii="Times New Roman" w:eastAsia="Times New Roman" w:hAnsi="Times New Roman" w:cs="Times New Roman"/>
                <w:b/>
                <w:bCs/>
                <w:color w:val="000000"/>
                <w:kern w:val="0"/>
                <w:lang w:eastAsia="zh-CN"/>
                <w14:ligatures w14:val="none"/>
              </w:rPr>
              <w:t>Column Name</w:t>
            </w:r>
          </w:p>
        </w:tc>
        <w:tc>
          <w:tcPr>
            <w:tcW w:w="1051" w:type="dxa"/>
            <w:hideMark/>
          </w:tcPr>
          <w:p w14:paraId="24B623F7" w14:textId="77777777" w:rsidR="00C57831" w:rsidRPr="00141203" w:rsidRDefault="00C57831" w:rsidP="00141203">
            <w:pPr>
              <w:spacing w:line="360" w:lineRule="auto"/>
              <w:jc w:val="center"/>
              <w:rPr>
                <w:rFonts w:ascii="Times New Roman" w:eastAsia="Times New Roman" w:hAnsi="Times New Roman" w:cs="Times New Roman"/>
                <w:b/>
                <w:bCs/>
                <w:color w:val="000000"/>
                <w:kern w:val="0"/>
                <w:lang w:eastAsia="zh-CN"/>
                <w14:ligatures w14:val="none"/>
              </w:rPr>
            </w:pPr>
            <w:r w:rsidRPr="00141203">
              <w:rPr>
                <w:rFonts w:ascii="Times New Roman" w:eastAsia="Times New Roman" w:hAnsi="Times New Roman" w:cs="Times New Roman"/>
                <w:b/>
                <w:bCs/>
                <w:color w:val="000000"/>
                <w:kern w:val="0"/>
                <w:lang w:eastAsia="zh-CN"/>
                <w14:ligatures w14:val="none"/>
              </w:rPr>
              <w:t>Data Type</w:t>
            </w:r>
          </w:p>
        </w:tc>
        <w:tc>
          <w:tcPr>
            <w:tcW w:w="3192" w:type="dxa"/>
          </w:tcPr>
          <w:p w14:paraId="668543F2" w14:textId="017F2848" w:rsidR="00C57831" w:rsidRPr="00141203" w:rsidRDefault="00865986" w:rsidP="00141203">
            <w:pPr>
              <w:spacing w:line="360" w:lineRule="auto"/>
              <w:jc w:val="center"/>
              <w:rPr>
                <w:rFonts w:ascii="Times New Roman" w:eastAsia="Times New Roman" w:hAnsi="Times New Roman" w:cs="Times New Roman"/>
                <w:b/>
                <w:bCs/>
                <w:color w:val="000000"/>
                <w:kern w:val="0"/>
                <w:lang w:eastAsia="zh-CN"/>
                <w14:ligatures w14:val="none"/>
              </w:rPr>
            </w:pPr>
            <w:r w:rsidRPr="00141203">
              <w:rPr>
                <w:rFonts w:ascii="Times New Roman" w:eastAsia="Times New Roman" w:hAnsi="Times New Roman" w:cs="Times New Roman"/>
                <w:b/>
                <w:bCs/>
                <w:color w:val="000000"/>
                <w:kern w:val="0"/>
                <w:lang w:eastAsia="zh-CN"/>
                <w14:ligatures w14:val="none"/>
              </w:rPr>
              <w:t xml:space="preserve">Source </w:t>
            </w:r>
          </w:p>
        </w:tc>
        <w:tc>
          <w:tcPr>
            <w:tcW w:w="3463" w:type="dxa"/>
            <w:hideMark/>
          </w:tcPr>
          <w:p w14:paraId="7A8E7ADE" w14:textId="43E94192" w:rsidR="00C57831" w:rsidRPr="00141203" w:rsidRDefault="00C57831" w:rsidP="00141203">
            <w:pPr>
              <w:spacing w:line="360" w:lineRule="auto"/>
              <w:jc w:val="center"/>
              <w:rPr>
                <w:rFonts w:ascii="Times New Roman" w:eastAsia="Times New Roman" w:hAnsi="Times New Roman" w:cs="Times New Roman"/>
                <w:b/>
                <w:bCs/>
                <w:color w:val="000000"/>
                <w:kern w:val="0"/>
                <w:lang w:eastAsia="zh-CN"/>
                <w14:ligatures w14:val="none"/>
              </w:rPr>
            </w:pPr>
            <w:r w:rsidRPr="00141203">
              <w:rPr>
                <w:rFonts w:ascii="Times New Roman" w:eastAsia="Times New Roman" w:hAnsi="Times New Roman" w:cs="Times New Roman"/>
                <w:b/>
                <w:bCs/>
                <w:color w:val="000000"/>
                <w:kern w:val="0"/>
                <w:lang w:eastAsia="zh-CN"/>
                <w14:ligatures w14:val="none"/>
              </w:rPr>
              <w:t>Description</w:t>
            </w:r>
          </w:p>
        </w:tc>
      </w:tr>
      <w:tr w:rsidR="00C57831" w:rsidRPr="00141203" w14:paraId="17FB6377" w14:textId="77777777" w:rsidTr="00C57831">
        <w:trPr>
          <w:trHeight w:val="332"/>
        </w:trPr>
        <w:tc>
          <w:tcPr>
            <w:tcW w:w="1644" w:type="dxa"/>
            <w:hideMark/>
          </w:tcPr>
          <w:p w14:paraId="460D1D16" w14:textId="77777777" w:rsidR="00C57831" w:rsidRPr="00141203" w:rsidRDefault="00C57831" w:rsidP="00141203">
            <w:pPr>
              <w:spacing w:line="360" w:lineRule="auto"/>
              <w:rPr>
                <w:rFonts w:ascii="Times New Roman" w:eastAsia="Times New Roman" w:hAnsi="Times New Roman" w:cs="Times New Roman"/>
                <w:color w:val="000000"/>
                <w:kern w:val="0"/>
                <w:lang w:eastAsia="zh-CN"/>
                <w14:ligatures w14:val="none"/>
              </w:rPr>
            </w:pPr>
            <w:r w:rsidRPr="00141203">
              <w:rPr>
                <w:rFonts w:ascii="Times New Roman" w:eastAsia="Times New Roman" w:hAnsi="Times New Roman" w:cs="Times New Roman"/>
                <w:color w:val="000000"/>
                <w:kern w:val="0"/>
                <w:lang w:eastAsia="zh-CN"/>
                <w14:ligatures w14:val="none"/>
              </w:rPr>
              <w:t>Ticker</w:t>
            </w:r>
          </w:p>
        </w:tc>
        <w:tc>
          <w:tcPr>
            <w:tcW w:w="1051" w:type="dxa"/>
            <w:hideMark/>
          </w:tcPr>
          <w:p w14:paraId="00219CC7" w14:textId="77777777" w:rsidR="00C57831" w:rsidRPr="00141203" w:rsidRDefault="00C57831" w:rsidP="00141203">
            <w:pPr>
              <w:spacing w:line="360" w:lineRule="auto"/>
              <w:rPr>
                <w:rFonts w:ascii="Times New Roman" w:eastAsia="Times New Roman" w:hAnsi="Times New Roman" w:cs="Times New Roman"/>
                <w:color w:val="000000"/>
                <w:kern w:val="0"/>
                <w:lang w:eastAsia="zh-CN"/>
                <w14:ligatures w14:val="none"/>
              </w:rPr>
            </w:pPr>
            <w:r w:rsidRPr="00141203">
              <w:rPr>
                <w:rFonts w:ascii="Times New Roman" w:eastAsia="Times New Roman" w:hAnsi="Times New Roman" w:cs="Times New Roman"/>
                <w:color w:val="000000"/>
                <w:kern w:val="0"/>
                <w:lang w:eastAsia="zh-CN"/>
                <w14:ligatures w14:val="none"/>
              </w:rPr>
              <w:t>String</w:t>
            </w:r>
          </w:p>
        </w:tc>
        <w:tc>
          <w:tcPr>
            <w:tcW w:w="3192" w:type="dxa"/>
          </w:tcPr>
          <w:p w14:paraId="1B0CCC3D" w14:textId="41B4882E" w:rsidR="00C57831" w:rsidRPr="00141203" w:rsidRDefault="00865986" w:rsidP="00141203">
            <w:pPr>
              <w:spacing w:line="360" w:lineRule="auto"/>
              <w:rPr>
                <w:rFonts w:ascii="Times New Roman" w:eastAsia="Times New Roman" w:hAnsi="Times New Roman" w:cs="Times New Roman"/>
                <w:color w:val="000000"/>
                <w:kern w:val="0"/>
                <w:lang w:eastAsia="zh-CN"/>
                <w14:ligatures w14:val="none"/>
              </w:rPr>
            </w:pPr>
            <w:r w:rsidRPr="00141203">
              <w:rPr>
                <w:rFonts w:ascii="Times New Roman" w:eastAsia="Times New Roman" w:hAnsi="Times New Roman" w:cs="Times New Roman"/>
                <w:color w:val="000000"/>
                <w:kern w:val="0"/>
                <w:lang w:eastAsia="zh-CN"/>
                <w14:ligatures w14:val="none"/>
              </w:rPr>
              <w:t xml:space="preserve">S&amp;P 500 </w:t>
            </w:r>
          </w:p>
        </w:tc>
        <w:tc>
          <w:tcPr>
            <w:tcW w:w="3463" w:type="dxa"/>
            <w:hideMark/>
          </w:tcPr>
          <w:p w14:paraId="24883238" w14:textId="10976510" w:rsidR="00C57831" w:rsidRPr="00141203" w:rsidRDefault="00C57831" w:rsidP="00141203">
            <w:pPr>
              <w:spacing w:line="360" w:lineRule="auto"/>
              <w:rPr>
                <w:rFonts w:ascii="Times New Roman" w:eastAsia="Times New Roman" w:hAnsi="Times New Roman" w:cs="Times New Roman"/>
                <w:color w:val="000000"/>
                <w:kern w:val="0"/>
                <w:lang w:eastAsia="zh-CN"/>
                <w14:ligatures w14:val="none"/>
              </w:rPr>
            </w:pPr>
            <w:r w:rsidRPr="00141203">
              <w:rPr>
                <w:rFonts w:ascii="Times New Roman" w:eastAsia="Times New Roman" w:hAnsi="Times New Roman" w:cs="Times New Roman"/>
                <w:color w:val="000000"/>
                <w:kern w:val="0"/>
                <w:lang w:eastAsia="zh-CN"/>
                <w14:ligatures w14:val="none"/>
              </w:rPr>
              <w:t>Stock ticker symbol representing the company.</w:t>
            </w:r>
          </w:p>
        </w:tc>
      </w:tr>
      <w:tr w:rsidR="00C57831" w:rsidRPr="00141203" w14:paraId="38866CC1" w14:textId="77777777" w:rsidTr="00C57831">
        <w:trPr>
          <w:trHeight w:val="300"/>
        </w:trPr>
        <w:tc>
          <w:tcPr>
            <w:tcW w:w="1644" w:type="dxa"/>
            <w:hideMark/>
          </w:tcPr>
          <w:p w14:paraId="22239B48" w14:textId="77777777" w:rsidR="00C57831" w:rsidRPr="00141203" w:rsidRDefault="00C57831" w:rsidP="00141203">
            <w:pPr>
              <w:spacing w:line="360" w:lineRule="auto"/>
              <w:rPr>
                <w:rFonts w:ascii="Times New Roman" w:eastAsia="Times New Roman" w:hAnsi="Times New Roman" w:cs="Times New Roman"/>
                <w:color w:val="000000"/>
                <w:kern w:val="0"/>
                <w:lang w:eastAsia="zh-CN"/>
                <w14:ligatures w14:val="none"/>
              </w:rPr>
            </w:pPr>
            <w:r w:rsidRPr="00141203">
              <w:rPr>
                <w:rFonts w:ascii="Times New Roman" w:eastAsia="Times New Roman" w:hAnsi="Times New Roman" w:cs="Times New Roman"/>
                <w:color w:val="000000"/>
                <w:kern w:val="0"/>
                <w:lang w:eastAsia="zh-CN"/>
                <w14:ligatures w14:val="none"/>
              </w:rPr>
              <w:t>Company</w:t>
            </w:r>
          </w:p>
        </w:tc>
        <w:tc>
          <w:tcPr>
            <w:tcW w:w="1051" w:type="dxa"/>
            <w:hideMark/>
          </w:tcPr>
          <w:p w14:paraId="4B08E4D5" w14:textId="77777777" w:rsidR="00C57831" w:rsidRPr="00141203" w:rsidRDefault="00C57831" w:rsidP="00141203">
            <w:pPr>
              <w:spacing w:line="360" w:lineRule="auto"/>
              <w:rPr>
                <w:rFonts w:ascii="Times New Roman" w:eastAsia="Times New Roman" w:hAnsi="Times New Roman" w:cs="Times New Roman"/>
                <w:color w:val="000000"/>
                <w:kern w:val="0"/>
                <w:lang w:eastAsia="zh-CN"/>
                <w14:ligatures w14:val="none"/>
              </w:rPr>
            </w:pPr>
            <w:r w:rsidRPr="00141203">
              <w:rPr>
                <w:rFonts w:ascii="Times New Roman" w:eastAsia="Times New Roman" w:hAnsi="Times New Roman" w:cs="Times New Roman"/>
                <w:color w:val="000000"/>
                <w:kern w:val="0"/>
                <w:lang w:eastAsia="zh-CN"/>
                <w14:ligatures w14:val="none"/>
              </w:rPr>
              <w:t>String</w:t>
            </w:r>
          </w:p>
        </w:tc>
        <w:tc>
          <w:tcPr>
            <w:tcW w:w="3192" w:type="dxa"/>
          </w:tcPr>
          <w:p w14:paraId="65BF1AB4" w14:textId="142C4EBB" w:rsidR="00C57831" w:rsidRPr="00141203" w:rsidRDefault="00031FF1" w:rsidP="00141203">
            <w:pPr>
              <w:spacing w:line="360" w:lineRule="auto"/>
              <w:rPr>
                <w:rFonts w:ascii="Times New Roman" w:eastAsia="Times New Roman" w:hAnsi="Times New Roman" w:cs="Times New Roman"/>
                <w:color w:val="000000"/>
                <w:kern w:val="0"/>
                <w:lang w:eastAsia="zh-CN"/>
                <w14:ligatures w14:val="none"/>
              </w:rPr>
            </w:pPr>
            <w:r w:rsidRPr="00141203">
              <w:rPr>
                <w:rFonts w:ascii="Times New Roman" w:eastAsia="Times New Roman" w:hAnsi="Times New Roman" w:cs="Times New Roman"/>
                <w:color w:val="000000"/>
                <w:kern w:val="0"/>
                <w:lang w:eastAsia="zh-CN"/>
                <w14:ligatures w14:val="none"/>
              </w:rPr>
              <w:t>Both</w:t>
            </w:r>
          </w:p>
        </w:tc>
        <w:tc>
          <w:tcPr>
            <w:tcW w:w="3463" w:type="dxa"/>
            <w:hideMark/>
          </w:tcPr>
          <w:p w14:paraId="2F3FAAC1" w14:textId="64352451" w:rsidR="00C57831" w:rsidRPr="00141203" w:rsidRDefault="00C57831" w:rsidP="00141203">
            <w:pPr>
              <w:spacing w:line="360" w:lineRule="auto"/>
              <w:rPr>
                <w:rFonts w:ascii="Times New Roman" w:eastAsia="Times New Roman" w:hAnsi="Times New Roman" w:cs="Times New Roman"/>
                <w:color w:val="000000"/>
                <w:kern w:val="0"/>
                <w:lang w:eastAsia="zh-CN"/>
                <w14:ligatures w14:val="none"/>
              </w:rPr>
            </w:pPr>
            <w:r w:rsidRPr="00141203">
              <w:rPr>
                <w:rFonts w:ascii="Times New Roman" w:eastAsia="Times New Roman" w:hAnsi="Times New Roman" w:cs="Times New Roman"/>
                <w:color w:val="000000"/>
                <w:kern w:val="0"/>
                <w:lang w:eastAsia="zh-CN"/>
                <w14:ligatures w14:val="none"/>
              </w:rPr>
              <w:t>Full legal name of the company.</w:t>
            </w:r>
          </w:p>
        </w:tc>
      </w:tr>
      <w:tr w:rsidR="00C57831" w:rsidRPr="00141203" w14:paraId="594B15F4" w14:textId="77777777" w:rsidTr="00C57831">
        <w:trPr>
          <w:trHeight w:val="323"/>
        </w:trPr>
        <w:tc>
          <w:tcPr>
            <w:tcW w:w="1644" w:type="dxa"/>
            <w:hideMark/>
          </w:tcPr>
          <w:p w14:paraId="1806FC43" w14:textId="77777777" w:rsidR="00C57831" w:rsidRPr="00141203" w:rsidRDefault="00C57831" w:rsidP="00141203">
            <w:pPr>
              <w:spacing w:line="360" w:lineRule="auto"/>
              <w:rPr>
                <w:rFonts w:ascii="Times New Roman" w:eastAsia="Times New Roman" w:hAnsi="Times New Roman" w:cs="Times New Roman"/>
                <w:color w:val="000000"/>
                <w:kern w:val="0"/>
                <w:lang w:eastAsia="zh-CN"/>
                <w14:ligatures w14:val="none"/>
              </w:rPr>
            </w:pPr>
            <w:r w:rsidRPr="00141203">
              <w:rPr>
                <w:rFonts w:ascii="Times New Roman" w:eastAsia="Times New Roman" w:hAnsi="Times New Roman" w:cs="Times New Roman"/>
                <w:color w:val="000000"/>
                <w:kern w:val="0"/>
                <w:lang w:eastAsia="zh-CN"/>
                <w14:ligatures w14:val="none"/>
              </w:rPr>
              <w:t>P/E Ratio</w:t>
            </w:r>
          </w:p>
        </w:tc>
        <w:tc>
          <w:tcPr>
            <w:tcW w:w="1051" w:type="dxa"/>
            <w:hideMark/>
          </w:tcPr>
          <w:p w14:paraId="5F084924" w14:textId="77777777" w:rsidR="00C57831" w:rsidRPr="00141203" w:rsidRDefault="00C57831" w:rsidP="00141203">
            <w:pPr>
              <w:spacing w:line="360" w:lineRule="auto"/>
              <w:rPr>
                <w:rFonts w:ascii="Times New Roman" w:eastAsia="Times New Roman" w:hAnsi="Times New Roman" w:cs="Times New Roman"/>
                <w:color w:val="000000"/>
                <w:kern w:val="0"/>
                <w:lang w:eastAsia="zh-CN"/>
                <w14:ligatures w14:val="none"/>
              </w:rPr>
            </w:pPr>
            <w:r w:rsidRPr="00141203">
              <w:rPr>
                <w:rFonts w:ascii="Times New Roman" w:eastAsia="Times New Roman" w:hAnsi="Times New Roman" w:cs="Times New Roman"/>
                <w:color w:val="000000"/>
                <w:kern w:val="0"/>
                <w:lang w:eastAsia="zh-CN"/>
                <w14:ligatures w14:val="none"/>
              </w:rPr>
              <w:t>Float</w:t>
            </w:r>
          </w:p>
        </w:tc>
        <w:tc>
          <w:tcPr>
            <w:tcW w:w="3192" w:type="dxa"/>
          </w:tcPr>
          <w:p w14:paraId="7EF0A393" w14:textId="2AB41ADE" w:rsidR="00C57831" w:rsidRPr="00141203" w:rsidRDefault="002E3A21" w:rsidP="00141203">
            <w:pPr>
              <w:spacing w:line="360" w:lineRule="auto"/>
              <w:rPr>
                <w:rFonts w:ascii="Times New Roman" w:eastAsia="Times New Roman" w:hAnsi="Times New Roman" w:cs="Times New Roman"/>
                <w:color w:val="000000"/>
                <w:kern w:val="0"/>
                <w:lang w:eastAsia="zh-CN"/>
                <w14:ligatures w14:val="none"/>
              </w:rPr>
            </w:pPr>
            <w:proofErr w:type="spellStart"/>
            <w:r w:rsidRPr="00141203">
              <w:rPr>
                <w:rFonts w:ascii="Times New Roman" w:eastAsia="Times New Roman" w:hAnsi="Times New Roman" w:cs="Times New Roman"/>
                <w:color w:val="000000"/>
                <w:kern w:val="0"/>
                <w:lang w:eastAsia="zh-CN"/>
                <w14:ligatures w14:val="none"/>
              </w:rPr>
              <w:t>YFinance</w:t>
            </w:r>
            <w:proofErr w:type="spellEnd"/>
            <w:r w:rsidRPr="00141203">
              <w:rPr>
                <w:rFonts w:ascii="Times New Roman" w:eastAsia="Times New Roman" w:hAnsi="Times New Roman" w:cs="Times New Roman"/>
                <w:color w:val="000000"/>
                <w:kern w:val="0"/>
                <w:lang w:eastAsia="zh-CN"/>
                <w14:ligatures w14:val="none"/>
              </w:rPr>
              <w:t xml:space="preserve"> </w:t>
            </w:r>
          </w:p>
        </w:tc>
        <w:tc>
          <w:tcPr>
            <w:tcW w:w="3463" w:type="dxa"/>
            <w:hideMark/>
          </w:tcPr>
          <w:p w14:paraId="5BEAC9C3" w14:textId="23012B8E" w:rsidR="00C57831" w:rsidRPr="00141203" w:rsidRDefault="00C57831" w:rsidP="00141203">
            <w:pPr>
              <w:spacing w:line="360" w:lineRule="auto"/>
              <w:rPr>
                <w:rFonts w:ascii="Times New Roman" w:eastAsia="Times New Roman" w:hAnsi="Times New Roman" w:cs="Times New Roman"/>
                <w:color w:val="000000"/>
                <w:kern w:val="0"/>
                <w:lang w:eastAsia="zh-CN"/>
                <w14:ligatures w14:val="none"/>
              </w:rPr>
            </w:pPr>
            <w:r w:rsidRPr="00141203">
              <w:rPr>
                <w:rFonts w:ascii="Times New Roman" w:eastAsia="Times New Roman" w:hAnsi="Times New Roman" w:cs="Times New Roman"/>
                <w:color w:val="000000"/>
                <w:kern w:val="0"/>
                <w:lang w:eastAsia="zh-CN"/>
                <w14:ligatures w14:val="none"/>
              </w:rPr>
              <w:t>Ratio of share price to earnings per share.</w:t>
            </w:r>
          </w:p>
        </w:tc>
      </w:tr>
      <w:tr w:rsidR="00C57831" w:rsidRPr="00141203" w14:paraId="41764C44" w14:textId="77777777" w:rsidTr="00C57831">
        <w:trPr>
          <w:trHeight w:val="260"/>
        </w:trPr>
        <w:tc>
          <w:tcPr>
            <w:tcW w:w="1644" w:type="dxa"/>
            <w:hideMark/>
          </w:tcPr>
          <w:p w14:paraId="309622DC" w14:textId="77777777" w:rsidR="00C57831" w:rsidRPr="00141203" w:rsidRDefault="00C57831" w:rsidP="00141203">
            <w:pPr>
              <w:spacing w:line="360" w:lineRule="auto"/>
              <w:rPr>
                <w:rFonts w:ascii="Times New Roman" w:eastAsia="Times New Roman" w:hAnsi="Times New Roman" w:cs="Times New Roman"/>
                <w:color w:val="000000"/>
                <w:kern w:val="0"/>
                <w:lang w:eastAsia="zh-CN"/>
                <w14:ligatures w14:val="none"/>
              </w:rPr>
            </w:pPr>
            <w:r w:rsidRPr="00141203">
              <w:rPr>
                <w:rFonts w:ascii="Times New Roman" w:eastAsia="Times New Roman" w:hAnsi="Times New Roman" w:cs="Times New Roman"/>
                <w:color w:val="000000"/>
                <w:kern w:val="0"/>
                <w:lang w:eastAsia="zh-CN"/>
                <w14:ligatures w14:val="none"/>
              </w:rPr>
              <w:t>Forward P/E</w:t>
            </w:r>
          </w:p>
        </w:tc>
        <w:tc>
          <w:tcPr>
            <w:tcW w:w="1051" w:type="dxa"/>
            <w:hideMark/>
          </w:tcPr>
          <w:p w14:paraId="0AC41702" w14:textId="77777777" w:rsidR="00C57831" w:rsidRPr="00141203" w:rsidRDefault="00C57831" w:rsidP="00141203">
            <w:pPr>
              <w:spacing w:line="360" w:lineRule="auto"/>
              <w:rPr>
                <w:rFonts w:ascii="Times New Roman" w:eastAsia="Times New Roman" w:hAnsi="Times New Roman" w:cs="Times New Roman"/>
                <w:color w:val="000000"/>
                <w:kern w:val="0"/>
                <w:lang w:eastAsia="zh-CN"/>
                <w14:ligatures w14:val="none"/>
              </w:rPr>
            </w:pPr>
            <w:r w:rsidRPr="00141203">
              <w:rPr>
                <w:rFonts w:ascii="Times New Roman" w:eastAsia="Times New Roman" w:hAnsi="Times New Roman" w:cs="Times New Roman"/>
                <w:color w:val="000000"/>
                <w:kern w:val="0"/>
                <w:lang w:eastAsia="zh-CN"/>
                <w14:ligatures w14:val="none"/>
              </w:rPr>
              <w:t>Float</w:t>
            </w:r>
          </w:p>
        </w:tc>
        <w:tc>
          <w:tcPr>
            <w:tcW w:w="3192" w:type="dxa"/>
          </w:tcPr>
          <w:p w14:paraId="12D2A763" w14:textId="04BE2436" w:rsidR="00C57831" w:rsidRPr="00141203" w:rsidRDefault="002E3A21" w:rsidP="00141203">
            <w:pPr>
              <w:spacing w:line="360" w:lineRule="auto"/>
              <w:rPr>
                <w:rFonts w:ascii="Times New Roman" w:eastAsia="Times New Roman" w:hAnsi="Times New Roman" w:cs="Times New Roman"/>
                <w:color w:val="000000"/>
                <w:kern w:val="0"/>
                <w:lang w:eastAsia="zh-CN"/>
                <w14:ligatures w14:val="none"/>
              </w:rPr>
            </w:pPr>
            <w:proofErr w:type="spellStart"/>
            <w:r w:rsidRPr="00141203">
              <w:rPr>
                <w:rFonts w:ascii="Times New Roman" w:eastAsia="Times New Roman" w:hAnsi="Times New Roman" w:cs="Times New Roman"/>
                <w:color w:val="000000"/>
                <w:kern w:val="0"/>
                <w:lang w:eastAsia="zh-CN"/>
                <w14:ligatures w14:val="none"/>
              </w:rPr>
              <w:t>YFinance</w:t>
            </w:r>
            <w:proofErr w:type="spellEnd"/>
            <w:r w:rsidRPr="00141203">
              <w:rPr>
                <w:rFonts w:ascii="Times New Roman" w:eastAsia="Times New Roman" w:hAnsi="Times New Roman" w:cs="Times New Roman"/>
                <w:color w:val="000000"/>
                <w:kern w:val="0"/>
                <w:lang w:eastAsia="zh-CN"/>
                <w14:ligatures w14:val="none"/>
              </w:rPr>
              <w:t xml:space="preserve"> </w:t>
            </w:r>
          </w:p>
        </w:tc>
        <w:tc>
          <w:tcPr>
            <w:tcW w:w="3463" w:type="dxa"/>
            <w:hideMark/>
          </w:tcPr>
          <w:p w14:paraId="1FB36D56" w14:textId="274B679D" w:rsidR="00C57831" w:rsidRPr="00141203" w:rsidRDefault="00C57831" w:rsidP="00141203">
            <w:pPr>
              <w:spacing w:line="360" w:lineRule="auto"/>
              <w:rPr>
                <w:rFonts w:ascii="Times New Roman" w:eastAsia="Times New Roman" w:hAnsi="Times New Roman" w:cs="Times New Roman"/>
                <w:color w:val="000000"/>
                <w:kern w:val="0"/>
                <w:lang w:eastAsia="zh-CN"/>
                <w14:ligatures w14:val="none"/>
              </w:rPr>
            </w:pPr>
            <w:r w:rsidRPr="00141203">
              <w:rPr>
                <w:rFonts w:ascii="Times New Roman" w:eastAsia="Times New Roman" w:hAnsi="Times New Roman" w:cs="Times New Roman"/>
                <w:color w:val="000000"/>
                <w:kern w:val="0"/>
                <w:lang w:eastAsia="zh-CN"/>
                <w14:ligatures w14:val="none"/>
              </w:rPr>
              <w:t>Projected future ratio of share price to earnings per share.</w:t>
            </w:r>
          </w:p>
        </w:tc>
      </w:tr>
      <w:tr w:rsidR="002E3A21" w:rsidRPr="00141203" w14:paraId="0F6A9340" w14:textId="77777777" w:rsidTr="00C57831">
        <w:trPr>
          <w:trHeight w:val="350"/>
        </w:trPr>
        <w:tc>
          <w:tcPr>
            <w:tcW w:w="1644" w:type="dxa"/>
            <w:hideMark/>
          </w:tcPr>
          <w:p w14:paraId="7258A63D" w14:textId="77777777" w:rsidR="002E3A21" w:rsidRPr="00141203" w:rsidRDefault="002E3A21" w:rsidP="00141203">
            <w:pPr>
              <w:spacing w:line="360" w:lineRule="auto"/>
              <w:rPr>
                <w:rFonts w:ascii="Times New Roman" w:eastAsia="Times New Roman" w:hAnsi="Times New Roman" w:cs="Times New Roman"/>
                <w:color w:val="000000"/>
                <w:kern w:val="0"/>
                <w:lang w:eastAsia="zh-CN"/>
                <w14:ligatures w14:val="none"/>
              </w:rPr>
            </w:pPr>
            <w:r w:rsidRPr="00141203">
              <w:rPr>
                <w:rFonts w:ascii="Times New Roman" w:eastAsia="Times New Roman" w:hAnsi="Times New Roman" w:cs="Times New Roman"/>
                <w:color w:val="000000"/>
                <w:kern w:val="0"/>
                <w:lang w:eastAsia="zh-CN"/>
                <w14:ligatures w14:val="none"/>
              </w:rPr>
              <w:lastRenderedPageBreak/>
              <w:t>Revenue (TTM)</w:t>
            </w:r>
          </w:p>
        </w:tc>
        <w:tc>
          <w:tcPr>
            <w:tcW w:w="1051" w:type="dxa"/>
            <w:hideMark/>
          </w:tcPr>
          <w:p w14:paraId="4DEE74AF" w14:textId="77777777" w:rsidR="002E3A21" w:rsidRPr="00141203" w:rsidRDefault="002E3A21" w:rsidP="00141203">
            <w:pPr>
              <w:spacing w:line="360" w:lineRule="auto"/>
              <w:rPr>
                <w:rFonts w:ascii="Times New Roman" w:eastAsia="Times New Roman" w:hAnsi="Times New Roman" w:cs="Times New Roman"/>
                <w:color w:val="000000"/>
                <w:kern w:val="0"/>
                <w:lang w:eastAsia="zh-CN"/>
                <w14:ligatures w14:val="none"/>
              </w:rPr>
            </w:pPr>
            <w:r w:rsidRPr="00141203">
              <w:rPr>
                <w:rFonts w:ascii="Times New Roman" w:eastAsia="Times New Roman" w:hAnsi="Times New Roman" w:cs="Times New Roman"/>
                <w:color w:val="000000"/>
                <w:kern w:val="0"/>
                <w:lang w:eastAsia="zh-CN"/>
                <w14:ligatures w14:val="none"/>
              </w:rPr>
              <w:t>Float</w:t>
            </w:r>
          </w:p>
        </w:tc>
        <w:tc>
          <w:tcPr>
            <w:tcW w:w="3192" w:type="dxa"/>
          </w:tcPr>
          <w:p w14:paraId="1E7A2BF3" w14:textId="3F507BED" w:rsidR="002E3A21" w:rsidRPr="00141203" w:rsidRDefault="002E3A21" w:rsidP="00141203">
            <w:pPr>
              <w:spacing w:line="360" w:lineRule="auto"/>
              <w:rPr>
                <w:rFonts w:ascii="Times New Roman" w:eastAsia="Times New Roman" w:hAnsi="Times New Roman" w:cs="Times New Roman"/>
                <w:color w:val="000000"/>
                <w:kern w:val="0"/>
                <w:lang w:eastAsia="zh-CN"/>
                <w14:ligatures w14:val="none"/>
              </w:rPr>
            </w:pPr>
            <w:proofErr w:type="spellStart"/>
            <w:r w:rsidRPr="00141203">
              <w:rPr>
                <w:rFonts w:ascii="Times New Roman" w:eastAsia="Times New Roman" w:hAnsi="Times New Roman" w:cs="Times New Roman"/>
                <w:color w:val="000000"/>
                <w:kern w:val="0"/>
                <w:lang w:eastAsia="zh-CN"/>
                <w14:ligatures w14:val="none"/>
              </w:rPr>
              <w:t>YFinance</w:t>
            </w:r>
            <w:proofErr w:type="spellEnd"/>
            <w:r w:rsidRPr="00141203">
              <w:rPr>
                <w:rFonts w:ascii="Times New Roman" w:eastAsia="Times New Roman" w:hAnsi="Times New Roman" w:cs="Times New Roman"/>
                <w:color w:val="000000"/>
                <w:kern w:val="0"/>
                <w:lang w:eastAsia="zh-CN"/>
                <w14:ligatures w14:val="none"/>
              </w:rPr>
              <w:t xml:space="preserve"> </w:t>
            </w:r>
          </w:p>
        </w:tc>
        <w:tc>
          <w:tcPr>
            <w:tcW w:w="3463" w:type="dxa"/>
            <w:hideMark/>
          </w:tcPr>
          <w:p w14:paraId="4FFF4799" w14:textId="2705A43B" w:rsidR="002E3A21" w:rsidRPr="00141203" w:rsidRDefault="002E3A21" w:rsidP="00141203">
            <w:pPr>
              <w:spacing w:line="360" w:lineRule="auto"/>
              <w:rPr>
                <w:rFonts w:ascii="Times New Roman" w:eastAsia="Times New Roman" w:hAnsi="Times New Roman" w:cs="Times New Roman"/>
                <w:color w:val="000000"/>
                <w:kern w:val="0"/>
                <w:lang w:eastAsia="zh-CN"/>
                <w14:ligatures w14:val="none"/>
              </w:rPr>
            </w:pPr>
            <w:r w:rsidRPr="00141203">
              <w:rPr>
                <w:rFonts w:ascii="Times New Roman" w:eastAsia="Times New Roman" w:hAnsi="Times New Roman" w:cs="Times New Roman"/>
                <w:color w:val="000000"/>
                <w:kern w:val="0"/>
                <w:lang w:eastAsia="zh-CN"/>
                <w14:ligatures w14:val="none"/>
              </w:rPr>
              <w:t>Total revenue over the trailing twelve months.</w:t>
            </w:r>
          </w:p>
        </w:tc>
      </w:tr>
      <w:tr w:rsidR="002E3A21" w:rsidRPr="00141203" w14:paraId="03A88DEF" w14:textId="77777777" w:rsidTr="00C57831">
        <w:trPr>
          <w:trHeight w:val="512"/>
        </w:trPr>
        <w:tc>
          <w:tcPr>
            <w:tcW w:w="1644" w:type="dxa"/>
            <w:hideMark/>
          </w:tcPr>
          <w:p w14:paraId="069FA97D" w14:textId="77777777" w:rsidR="002E3A21" w:rsidRPr="00141203" w:rsidRDefault="002E3A21" w:rsidP="00141203">
            <w:pPr>
              <w:spacing w:line="360" w:lineRule="auto"/>
              <w:rPr>
                <w:rFonts w:ascii="Times New Roman" w:eastAsia="Times New Roman" w:hAnsi="Times New Roman" w:cs="Times New Roman"/>
                <w:color w:val="000000"/>
                <w:kern w:val="0"/>
                <w:lang w:eastAsia="zh-CN"/>
                <w14:ligatures w14:val="none"/>
              </w:rPr>
            </w:pPr>
            <w:r w:rsidRPr="00141203">
              <w:rPr>
                <w:rFonts w:ascii="Times New Roman" w:eastAsia="Times New Roman" w:hAnsi="Times New Roman" w:cs="Times New Roman"/>
                <w:color w:val="000000"/>
                <w:kern w:val="0"/>
                <w:lang w:eastAsia="zh-CN"/>
                <w14:ligatures w14:val="none"/>
              </w:rPr>
              <w:t>Gross Profits</w:t>
            </w:r>
          </w:p>
        </w:tc>
        <w:tc>
          <w:tcPr>
            <w:tcW w:w="1051" w:type="dxa"/>
            <w:hideMark/>
          </w:tcPr>
          <w:p w14:paraId="3635CC78" w14:textId="77777777" w:rsidR="002E3A21" w:rsidRPr="00141203" w:rsidRDefault="002E3A21" w:rsidP="00141203">
            <w:pPr>
              <w:spacing w:line="360" w:lineRule="auto"/>
              <w:rPr>
                <w:rFonts w:ascii="Times New Roman" w:eastAsia="Times New Roman" w:hAnsi="Times New Roman" w:cs="Times New Roman"/>
                <w:color w:val="000000"/>
                <w:kern w:val="0"/>
                <w:lang w:eastAsia="zh-CN"/>
                <w14:ligatures w14:val="none"/>
              </w:rPr>
            </w:pPr>
            <w:r w:rsidRPr="00141203">
              <w:rPr>
                <w:rFonts w:ascii="Times New Roman" w:eastAsia="Times New Roman" w:hAnsi="Times New Roman" w:cs="Times New Roman"/>
                <w:color w:val="000000"/>
                <w:kern w:val="0"/>
                <w:lang w:eastAsia="zh-CN"/>
                <w14:ligatures w14:val="none"/>
              </w:rPr>
              <w:t>Float</w:t>
            </w:r>
          </w:p>
        </w:tc>
        <w:tc>
          <w:tcPr>
            <w:tcW w:w="3192" w:type="dxa"/>
          </w:tcPr>
          <w:p w14:paraId="4F69AC46" w14:textId="4A67296A" w:rsidR="002E3A21" w:rsidRPr="00141203" w:rsidRDefault="002E3A21" w:rsidP="00141203">
            <w:pPr>
              <w:spacing w:line="360" w:lineRule="auto"/>
              <w:rPr>
                <w:rFonts w:ascii="Times New Roman" w:eastAsia="Times New Roman" w:hAnsi="Times New Roman" w:cs="Times New Roman"/>
                <w:color w:val="000000"/>
                <w:kern w:val="0"/>
                <w:lang w:eastAsia="zh-CN"/>
                <w14:ligatures w14:val="none"/>
              </w:rPr>
            </w:pPr>
            <w:proofErr w:type="spellStart"/>
            <w:r w:rsidRPr="00141203">
              <w:rPr>
                <w:rFonts w:ascii="Times New Roman" w:eastAsia="Times New Roman" w:hAnsi="Times New Roman" w:cs="Times New Roman"/>
                <w:color w:val="000000"/>
                <w:kern w:val="0"/>
                <w:lang w:eastAsia="zh-CN"/>
                <w14:ligatures w14:val="none"/>
              </w:rPr>
              <w:t>YFinance</w:t>
            </w:r>
            <w:proofErr w:type="spellEnd"/>
            <w:r w:rsidRPr="00141203">
              <w:rPr>
                <w:rFonts w:ascii="Times New Roman" w:eastAsia="Times New Roman" w:hAnsi="Times New Roman" w:cs="Times New Roman"/>
                <w:color w:val="000000"/>
                <w:kern w:val="0"/>
                <w:lang w:eastAsia="zh-CN"/>
                <w14:ligatures w14:val="none"/>
              </w:rPr>
              <w:t xml:space="preserve"> </w:t>
            </w:r>
          </w:p>
        </w:tc>
        <w:tc>
          <w:tcPr>
            <w:tcW w:w="3463" w:type="dxa"/>
            <w:hideMark/>
          </w:tcPr>
          <w:p w14:paraId="48F1E9F1" w14:textId="7A9F616E" w:rsidR="002E3A21" w:rsidRPr="00141203" w:rsidRDefault="002E3A21" w:rsidP="00141203">
            <w:pPr>
              <w:spacing w:line="360" w:lineRule="auto"/>
              <w:rPr>
                <w:rFonts w:ascii="Times New Roman" w:eastAsia="Times New Roman" w:hAnsi="Times New Roman" w:cs="Times New Roman"/>
                <w:color w:val="000000"/>
                <w:kern w:val="0"/>
                <w:lang w:eastAsia="zh-CN"/>
                <w14:ligatures w14:val="none"/>
              </w:rPr>
            </w:pPr>
            <w:r w:rsidRPr="00141203">
              <w:rPr>
                <w:rFonts w:ascii="Times New Roman" w:eastAsia="Times New Roman" w:hAnsi="Times New Roman" w:cs="Times New Roman"/>
                <w:color w:val="000000"/>
                <w:kern w:val="0"/>
                <w:lang w:eastAsia="zh-CN"/>
                <w14:ligatures w14:val="none"/>
              </w:rPr>
              <w:t>Total profits after subtracting cost of goods sold over the trailing twelve months.</w:t>
            </w:r>
          </w:p>
        </w:tc>
      </w:tr>
      <w:tr w:rsidR="002E3A21" w:rsidRPr="00141203" w14:paraId="1325DA20" w14:textId="77777777" w:rsidTr="00C57831">
        <w:trPr>
          <w:trHeight w:val="323"/>
        </w:trPr>
        <w:tc>
          <w:tcPr>
            <w:tcW w:w="1644" w:type="dxa"/>
            <w:hideMark/>
          </w:tcPr>
          <w:p w14:paraId="7459B2F5" w14:textId="77777777" w:rsidR="002E3A21" w:rsidRPr="00141203" w:rsidRDefault="002E3A21" w:rsidP="00141203">
            <w:pPr>
              <w:spacing w:line="360" w:lineRule="auto"/>
              <w:rPr>
                <w:rFonts w:ascii="Times New Roman" w:eastAsia="Times New Roman" w:hAnsi="Times New Roman" w:cs="Times New Roman"/>
                <w:color w:val="000000"/>
                <w:kern w:val="0"/>
                <w:lang w:eastAsia="zh-CN"/>
                <w14:ligatures w14:val="none"/>
              </w:rPr>
            </w:pPr>
            <w:r w:rsidRPr="00141203">
              <w:rPr>
                <w:rFonts w:ascii="Times New Roman" w:eastAsia="Times New Roman" w:hAnsi="Times New Roman" w:cs="Times New Roman"/>
                <w:color w:val="000000"/>
                <w:kern w:val="0"/>
                <w:lang w:eastAsia="zh-CN"/>
                <w14:ligatures w14:val="none"/>
              </w:rPr>
              <w:t>Net Income</w:t>
            </w:r>
          </w:p>
        </w:tc>
        <w:tc>
          <w:tcPr>
            <w:tcW w:w="1051" w:type="dxa"/>
            <w:hideMark/>
          </w:tcPr>
          <w:p w14:paraId="3033567E" w14:textId="77777777" w:rsidR="002E3A21" w:rsidRPr="00141203" w:rsidRDefault="002E3A21" w:rsidP="00141203">
            <w:pPr>
              <w:spacing w:line="360" w:lineRule="auto"/>
              <w:rPr>
                <w:rFonts w:ascii="Times New Roman" w:eastAsia="Times New Roman" w:hAnsi="Times New Roman" w:cs="Times New Roman"/>
                <w:color w:val="000000"/>
                <w:kern w:val="0"/>
                <w:lang w:eastAsia="zh-CN"/>
                <w14:ligatures w14:val="none"/>
              </w:rPr>
            </w:pPr>
            <w:r w:rsidRPr="00141203">
              <w:rPr>
                <w:rFonts w:ascii="Times New Roman" w:eastAsia="Times New Roman" w:hAnsi="Times New Roman" w:cs="Times New Roman"/>
                <w:color w:val="000000"/>
                <w:kern w:val="0"/>
                <w:lang w:eastAsia="zh-CN"/>
                <w14:ligatures w14:val="none"/>
              </w:rPr>
              <w:t>Float</w:t>
            </w:r>
          </w:p>
        </w:tc>
        <w:tc>
          <w:tcPr>
            <w:tcW w:w="3192" w:type="dxa"/>
          </w:tcPr>
          <w:p w14:paraId="389FFCB9" w14:textId="0E7C66A3" w:rsidR="002E3A21" w:rsidRPr="00141203" w:rsidRDefault="002E3A21" w:rsidP="00141203">
            <w:pPr>
              <w:spacing w:line="360" w:lineRule="auto"/>
              <w:rPr>
                <w:rFonts w:ascii="Times New Roman" w:eastAsia="Times New Roman" w:hAnsi="Times New Roman" w:cs="Times New Roman"/>
                <w:color w:val="000000"/>
                <w:kern w:val="0"/>
                <w:lang w:eastAsia="zh-CN"/>
                <w14:ligatures w14:val="none"/>
              </w:rPr>
            </w:pPr>
            <w:proofErr w:type="spellStart"/>
            <w:r w:rsidRPr="00141203">
              <w:rPr>
                <w:rFonts w:ascii="Times New Roman" w:eastAsia="Times New Roman" w:hAnsi="Times New Roman" w:cs="Times New Roman"/>
                <w:color w:val="000000"/>
                <w:kern w:val="0"/>
                <w:lang w:eastAsia="zh-CN"/>
                <w14:ligatures w14:val="none"/>
              </w:rPr>
              <w:t>YFinance</w:t>
            </w:r>
            <w:proofErr w:type="spellEnd"/>
            <w:r w:rsidRPr="00141203">
              <w:rPr>
                <w:rFonts w:ascii="Times New Roman" w:eastAsia="Times New Roman" w:hAnsi="Times New Roman" w:cs="Times New Roman"/>
                <w:color w:val="000000"/>
                <w:kern w:val="0"/>
                <w:lang w:eastAsia="zh-CN"/>
                <w14:ligatures w14:val="none"/>
              </w:rPr>
              <w:t xml:space="preserve"> </w:t>
            </w:r>
          </w:p>
        </w:tc>
        <w:tc>
          <w:tcPr>
            <w:tcW w:w="3463" w:type="dxa"/>
            <w:hideMark/>
          </w:tcPr>
          <w:p w14:paraId="3C89F26B" w14:textId="4885306F" w:rsidR="002E3A21" w:rsidRPr="00141203" w:rsidRDefault="002E3A21" w:rsidP="00141203">
            <w:pPr>
              <w:spacing w:line="360" w:lineRule="auto"/>
              <w:rPr>
                <w:rFonts w:ascii="Times New Roman" w:eastAsia="Times New Roman" w:hAnsi="Times New Roman" w:cs="Times New Roman"/>
                <w:color w:val="000000"/>
                <w:kern w:val="0"/>
                <w:lang w:eastAsia="zh-CN"/>
                <w14:ligatures w14:val="none"/>
              </w:rPr>
            </w:pPr>
            <w:r w:rsidRPr="00141203">
              <w:rPr>
                <w:rFonts w:ascii="Times New Roman" w:eastAsia="Times New Roman" w:hAnsi="Times New Roman" w:cs="Times New Roman"/>
                <w:color w:val="000000"/>
                <w:kern w:val="0"/>
                <w:lang w:eastAsia="zh-CN"/>
                <w14:ligatures w14:val="none"/>
              </w:rPr>
              <w:t>Total earnings after all expenses and taxes.</w:t>
            </w:r>
          </w:p>
        </w:tc>
      </w:tr>
      <w:tr w:rsidR="002E3A21" w:rsidRPr="00141203" w14:paraId="1BC44056" w14:textId="77777777" w:rsidTr="00C57831">
        <w:trPr>
          <w:trHeight w:val="440"/>
        </w:trPr>
        <w:tc>
          <w:tcPr>
            <w:tcW w:w="1644" w:type="dxa"/>
            <w:hideMark/>
          </w:tcPr>
          <w:p w14:paraId="2E2DBCA4" w14:textId="77777777" w:rsidR="002E3A21" w:rsidRPr="00141203" w:rsidRDefault="002E3A21" w:rsidP="00141203">
            <w:pPr>
              <w:spacing w:line="360" w:lineRule="auto"/>
              <w:rPr>
                <w:rFonts w:ascii="Times New Roman" w:eastAsia="Times New Roman" w:hAnsi="Times New Roman" w:cs="Times New Roman"/>
                <w:color w:val="000000"/>
                <w:kern w:val="0"/>
                <w:lang w:eastAsia="zh-CN"/>
                <w14:ligatures w14:val="none"/>
              </w:rPr>
            </w:pPr>
            <w:r w:rsidRPr="00141203">
              <w:rPr>
                <w:rFonts w:ascii="Times New Roman" w:eastAsia="Times New Roman" w:hAnsi="Times New Roman" w:cs="Times New Roman"/>
                <w:color w:val="000000"/>
                <w:kern w:val="0"/>
                <w:lang w:eastAsia="zh-CN"/>
                <w14:ligatures w14:val="none"/>
              </w:rPr>
              <w:t>EBITDA</w:t>
            </w:r>
          </w:p>
        </w:tc>
        <w:tc>
          <w:tcPr>
            <w:tcW w:w="1051" w:type="dxa"/>
            <w:hideMark/>
          </w:tcPr>
          <w:p w14:paraId="2BAAB034" w14:textId="77777777" w:rsidR="002E3A21" w:rsidRPr="00141203" w:rsidRDefault="002E3A21" w:rsidP="00141203">
            <w:pPr>
              <w:spacing w:line="360" w:lineRule="auto"/>
              <w:rPr>
                <w:rFonts w:ascii="Times New Roman" w:eastAsia="Times New Roman" w:hAnsi="Times New Roman" w:cs="Times New Roman"/>
                <w:color w:val="000000"/>
                <w:kern w:val="0"/>
                <w:lang w:eastAsia="zh-CN"/>
                <w14:ligatures w14:val="none"/>
              </w:rPr>
            </w:pPr>
            <w:r w:rsidRPr="00141203">
              <w:rPr>
                <w:rFonts w:ascii="Times New Roman" w:eastAsia="Times New Roman" w:hAnsi="Times New Roman" w:cs="Times New Roman"/>
                <w:color w:val="000000"/>
                <w:kern w:val="0"/>
                <w:lang w:eastAsia="zh-CN"/>
                <w14:ligatures w14:val="none"/>
              </w:rPr>
              <w:t>Float</w:t>
            </w:r>
          </w:p>
        </w:tc>
        <w:tc>
          <w:tcPr>
            <w:tcW w:w="3192" w:type="dxa"/>
          </w:tcPr>
          <w:p w14:paraId="7608AF46" w14:textId="0F2D4AFD" w:rsidR="002E3A21" w:rsidRPr="00141203" w:rsidRDefault="002E3A21" w:rsidP="00141203">
            <w:pPr>
              <w:spacing w:line="360" w:lineRule="auto"/>
              <w:rPr>
                <w:rFonts w:ascii="Times New Roman" w:eastAsia="Times New Roman" w:hAnsi="Times New Roman" w:cs="Times New Roman"/>
                <w:color w:val="000000"/>
                <w:kern w:val="0"/>
                <w:lang w:eastAsia="zh-CN"/>
                <w14:ligatures w14:val="none"/>
              </w:rPr>
            </w:pPr>
            <w:proofErr w:type="spellStart"/>
            <w:r w:rsidRPr="00141203">
              <w:rPr>
                <w:rFonts w:ascii="Times New Roman" w:eastAsia="Times New Roman" w:hAnsi="Times New Roman" w:cs="Times New Roman"/>
                <w:color w:val="000000"/>
                <w:kern w:val="0"/>
                <w:lang w:eastAsia="zh-CN"/>
                <w14:ligatures w14:val="none"/>
              </w:rPr>
              <w:t>YFinance</w:t>
            </w:r>
            <w:proofErr w:type="spellEnd"/>
            <w:r w:rsidRPr="00141203">
              <w:rPr>
                <w:rFonts w:ascii="Times New Roman" w:eastAsia="Times New Roman" w:hAnsi="Times New Roman" w:cs="Times New Roman"/>
                <w:color w:val="000000"/>
                <w:kern w:val="0"/>
                <w:lang w:eastAsia="zh-CN"/>
                <w14:ligatures w14:val="none"/>
              </w:rPr>
              <w:t xml:space="preserve"> </w:t>
            </w:r>
          </w:p>
        </w:tc>
        <w:tc>
          <w:tcPr>
            <w:tcW w:w="3463" w:type="dxa"/>
            <w:hideMark/>
          </w:tcPr>
          <w:p w14:paraId="4E367F73" w14:textId="594CE561" w:rsidR="002E3A21" w:rsidRPr="00141203" w:rsidRDefault="002E3A21" w:rsidP="00141203">
            <w:pPr>
              <w:spacing w:line="360" w:lineRule="auto"/>
              <w:rPr>
                <w:rFonts w:ascii="Times New Roman" w:eastAsia="Times New Roman" w:hAnsi="Times New Roman" w:cs="Times New Roman"/>
                <w:color w:val="000000"/>
                <w:kern w:val="0"/>
                <w:lang w:eastAsia="zh-CN"/>
                <w14:ligatures w14:val="none"/>
              </w:rPr>
            </w:pPr>
            <w:r w:rsidRPr="00141203">
              <w:rPr>
                <w:rFonts w:ascii="Times New Roman" w:eastAsia="Times New Roman" w:hAnsi="Times New Roman" w:cs="Times New Roman"/>
                <w:color w:val="000000"/>
                <w:kern w:val="0"/>
                <w:lang w:eastAsia="zh-CN"/>
                <w14:ligatures w14:val="none"/>
              </w:rPr>
              <w:t>Earnings before interest, taxes, depreciation, and amortization.</w:t>
            </w:r>
          </w:p>
        </w:tc>
      </w:tr>
      <w:tr w:rsidR="002E3A21" w:rsidRPr="00141203" w14:paraId="1BC4C0B3" w14:textId="77777777" w:rsidTr="00C57831">
        <w:trPr>
          <w:trHeight w:val="332"/>
        </w:trPr>
        <w:tc>
          <w:tcPr>
            <w:tcW w:w="1644" w:type="dxa"/>
            <w:hideMark/>
          </w:tcPr>
          <w:p w14:paraId="52E4E9C0" w14:textId="77777777" w:rsidR="002E3A21" w:rsidRPr="00141203" w:rsidRDefault="002E3A21" w:rsidP="00141203">
            <w:pPr>
              <w:spacing w:line="360" w:lineRule="auto"/>
              <w:rPr>
                <w:rFonts w:ascii="Times New Roman" w:eastAsia="Times New Roman" w:hAnsi="Times New Roman" w:cs="Times New Roman"/>
                <w:color w:val="000000"/>
                <w:kern w:val="0"/>
                <w:lang w:eastAsia="zh-CN"/>
                <w14:ligatures w14:val="none"/>
              </w:rPr>
            </w:pPr>
            <w:r w:rsidRPr="00141203">
              <w:rPr>
                <w:rFonts w:ascii="Times New Roman" w:eastAsia="Times New Roman" w:hAnsi="Times New Roman" w:cs="Times New Roman"/>
                <w:color w:val="000000"/>
                <w:kern w:val="0"/>
                <w:lang w:eastAsia="zh-CN"/>
                <w14:ligatures w14:val="none"/>
              </w:rPr>
              <w:t>Market Cap</w:t>
            </w:r>
          </w:p>
        </w:tc>
        <w:tc>
          <w:tcPr>
            <w:tcW w:w="1051" w:type="dxa"/>
            <w:hideMark/>
          </w:tcPr>
          <w:p w14:paraId="32E841AB" w14:textId="77777777" w:rsidR="002E3A21" w:rsidRPr="00141203" w:rsidRDefault="002E3A21" w:rsidP="00141203">
            <w:pPr>
              <w:spacing w:line="360" w:lineRule="auto"/>
              <w:rPr>
                <w:rFonts w:ascii="Times New Roman" w:eastAsia="Times New Roman" w:hAnsi="Times New Roman" w:cs="Times New Roman"/>
                <w:color w:val="000000"/>
                <w:kern w:val="0"/>
                <w:lang w:eastAsia="zh-CN"/>
                <w14:ligatures w14:val="none"/>
              </w:rPr>
            </w:pPr>
            <w:r w:rsidRPr="00141203">
              <w:rPr>
                <w:rFonts w:ascii="Times New Roman" w:eastAsia="Times New Roman" w:hAnsi="Times New Roman" w:cs="Times New Roman"/>
                <w:color w:val="000000"/>
                <w:kern w:val="0"/>
                <w:lang w:eastAsia="zh-CN"/>
                <w14:ligatures w14:val="none"/>
              </w:rPr>
              <w:t>Float</w:t>
            </w:r>
          </w:p>
        </w:tc>
        <w:tc>
          <w:tcPr>
            <w:tcW w:w="3192" w:type="dxa"/>
          </w:tcPr>
          <w:p w14:paraId="31C10BDD" w14:textId="724BD312" w:rsidR="002E3A21" w:rsidRPr="00141203" w:rsidRDefault="002E3A21" w:rsidP="00141203">
            <w:pPr>
              <w:spacing w:line="360" w:lineRule="auto"/>
              <w:rPr>
                <w:rFonts w:ascii="Times New Roman" w:eastAsia="Times New Roman" w:hAnsi="Times New Roman" w:cs="Times New Roman"/>
                <w:color w:val="000000"/>
                <w:kern w:val="0"/>
                <w:lang w:eastAsia="zh-CN"/>
                <w14:ligatures w14:val="none"/>
              </w:rPr>
            </w:pPr>
            <w:proofErr w:type="spellStart"/>
            <w:r w:rsidRPr="00141203">
              <w:rPr>
                <w:rFonts w:ascii="Times New Roman" w:eastAsia="Times New Roman" w:hAnsi="Times New Roman" w:cs="Times New Roman"/>
                <w:color w:val="000000"/>
                <w:kern w:val="0"/>
                <w:lang w:eastAsia="zh-CN"/>
                <w14:ligatures w14:val="none"/>
              </w:rPr>
              <w:t>YFinance</w:t>
            </w:r>
            <w:proofErr w:type="spellEnd"/>
            <w:r w:rsidRPr="00141203">
              <w:rPr>
                <w:rFonts w:ascii="Times New Roman" w:eastAsia="Times New Roman" w:hAnsi="Times New Roman" w:cs="Times New Roman"/>
                <w:color w:val="000000"/>
                <w:kern w:val="0"/>
                <w:lang w:eastAsia="zh-CN"/>
                <w14:ligatures w14:val="none"/>
              </w:rPr>
              <w:t xml:space="preserve"> </w:t>
            </w:r>
          </w:p>
        </w:tc>
        <w:tc>
          <w:tcPr>
            <w:tcW w:w="3463" w:type="dxa"/>
            <w:hideMark/>
          </w:tcPr>
          <w:p w14:paraId="132C0B93" w14:textId="01BC5978" w:rsidR="002E3A21" w:rsidRPr="00141203" w:rsidRDefault="002E3A21" w:rsidP="00141203">
            <w:pPr>
              <w:spacing w:line="360" w:lineRule="auto"/>
              <w:rPr>
                <w:rFonts w:ascii="Times New Roman" w:eastAsia="Times New Roman" w:hAnsi="Times New Roman" w:cs="Times New Roman"/>
                <w:color w:val="000000"/>
                <w:kern w:val="0"/>
                <w:lang w:eastAsia="zh-CN"/>
                <w14:ligatures w14:val="none"/>
              </w:rPr>
            </w:pPr>
            <w:r w:rsidRPr="00141203">
              <w:rPr>
                <w:rFonts w:ascii="Times New Roman" w:eastAsia="Times New Roman" w:hAnsi="Times New Roman" w:cs="Times New Roman"/>
                <w:color w:val="000000"/>
                <w:kern w:val="0"/>
                <w:lang w:eastAsia="zh-CN"/>
                <w14:ligatures w14:val="none"/>
              </w:rPr>
              <w:t>Total market value of a company's outstanding shares.</w:t>
            </w:r>
          </w:p>
        </w:tc>
      </w:tr>
      <w:tr w:rsidR="002E3A21" w:rsidRPr="00141203" w14:paraId="128624F9" w14:textId="77777777" w:rsidTr="002E3A21">
        <w:trPr>
          <w:trHeight w:val="395"/>
        </w:trPr>
        <w:tc>
          <w:tcPr>
            <w:tcW w:w="1644" w:type="dxa"/>
            <w:hideMark/>
          </w:tcPr>
          <w:p w14:paraId="662152A4" w14:textId="77777777" w:rsidR="002E3A21" w:rsidRPr="00141203" w:rsidRDefault="002E3A21" w:rsidP="00141203">
            <w:pPr>
              <w:spacing w:line="360" w:lineRule="auto"/>
              <w:rPr>
                <w:rFonts w:ascii="Times New Roman" w:eastAsia="Times New Roman" w:hAnsi="Times New Roman" w:cs="Times New Roman"/>
                <w:color w:val="000000"/>
                <w:kern w:val="0"/>
                <w:lang w:eastAsia="zh-CN"/>
                <w14:ligatures w14:val="none"/>
              </w:rPr>
            </w:pPr>
            <w:r w:rsidRPr="00141203">
              <w:rPr>
                <w:rFonts w:ascii="Times New Roman" w:eastAsia="Times New Roman" w:hAnsi="Times New Roman" w:cs="Times New Roman"/>
                <w:color w:val="000000"/>
                <w:kern w:val="0"/>
                <w:lang w:eastAsia="zh-CN"/>
                <w14:ligatures w14:val="none"/>
              </w:rPr>
              <w:t>Sector</w:t>
            </w:r>
          </w:p>
        </w:tc>
        <w:tc>
          <w:tcPr>
            <w:tcW w:w="1051" w:type="dxa"/>
            <w:hideMark/>
          </w:tcPr>
          <w:p w14:paraId="276C3F96" w14:textId="77777777" w:rsidR="002E3A21" w:rsidRPr="00141203" w:rsidRDefault="002E3A21" w:rsidP="00141203">
            <w:pPr>
              <w:spacing w:line="360" w:lineRule="auto"/>
              <w:rPr>
                <w:rFonts w:ascii="Times New Roman" w:eastAsia="Times New Roman" w:hAnsi="Times New Roman" w:cs="Times New Roman"/>
                <w:color w:val="000000"/>
                <w:kern w:val="0"/>
                <w:lang w:eastAsia="zh-CN"/>
                <w14:ligatures w14:val="none"/>
              </w:rPr>
            </w:pPr>
            <w:r w:rsidRPr="00141203">
              <w:rPr>
                <w:rFonts w:ascii="Times New Roman" w:eastAsia="Times New Roman" w:hAnsi="Times New Roman" w:cs="Times New Roman"/>
                <w:color w:val="000000"/>
                <w:kern w:val="0"/>
                <w:lang w:eastAsia="zh-CN"/>
                <w14:ligatures w14:val="none"/>
              </w:rPr>
              <w:t>String</w:t>
            </w:r>
          </w:p>
        </w:tc>
        <w:tc>
          <w:tcPr>
            <w:tcW w:w="3192" w:type="dxa"/>
          </w:tcPr>
          <w:p w14:paraId="12945A35" w14:textId="3A40FC40" w:rsidR="002E3A21" w:rsidRPr="00141203" w:rsidRDefault="006C683F" w:rsidP="00141203">
            <w:pPr>
              <w:spacing w:line="360" w:lineRule="auto"/>
              <w:rPr>
                <w:rFonts w:ascii="Times New Roman" w:eastAsia="Times New Roman" w:hAnsi="Times New Roman" w:cs="Times New Roman"/>
                <w:color w:val="000000"/>
                <w:kern w:val="0"/>
                <w:lang w:eastAsia="zh-CN"/>
                <w14:ligatures w14:val="none"/>
              </w:rPr>
            </w:pPr>
            <w:proofErr w:type="spellStart"/>
            <w:r w:rsidRPr="00141203">
              <w:rPr>
                <w:rFonts w:ascii="Times New Roman" w:eastAsia="Times New Roman" w:hAnsi="Times New Roman" w:cs="Times New Roman"/>
                <w:color w:val="000000"/>
                <w:kern w:val="0"/>
                <w:lang w:eastAsia="zh-CN"/>
                <w14:ligatures w14:val="none"/>
              </w:rPr>
              <w:t>YFinance</w:t>
            </w:r>
            <w:proofErr w:type="spellEnd"/>
          </w:p>
        </w:tc>
        <w:tc>
          <w:tcPr>
            <w:tcW w:w="3463" w:type="dxa"/>
            <w:hideMark/>
          </w:tcPr>
          <w:p w14:paraId="7ED02771" w14:textId="27696D57" w:rsidR="002E3A21" w:rsidRPr="00141203" w:rsidRDefault="002E3A21" w:rsidP="00141203">
            <w:pPr>
              <w:spacing w:line="360" w:lineRule="auto"/>
              <w:rPr>
                <w:rFonts w:ascii="Times New Roman" w:eastAsia="Times New Roman" w:hAnsi="Times New Roman" w:cs="Times New Roman"/>
                <w:color w:val="000000"/>
                <w:kern w:val="0"/>
                <w:lang w:eastAsia="zh-CN"/>
                <w14:ligatures w14:val="none"/>
              </w:rPr>
            </w:pPr>
            <w:r w:rsidRPr="00141203">
              <w:rPr>
                <w:rFonts w:ascii="Times New Roman" w:eastAsia="Times New Roman" w:hAnsi="Times New Roman" w:cs="Times New Roman"/>
                <w:color w:val="000000"/>
                <w:kern w:val="0"/>
                <w:lang w:eastAsia="zh-CN"/>
                <w14:ligatures w14:val="none"/>
              </w:rPr>
              <w:t>Industry sector classification.</w:t>
            </w:r>
          </w:p>
        </w:tc>
      </w:tr>
      <w:tr w:rsidR="002E3A21" w:rsidRPr="00141203" w14:paraId="6F70D2EF" w14:textId="77777777" w:rsidTr="00C57831">
        <w:trPr>
          <w:trHeight w:val="600"/>
        </w:trPr>
        <w:tc>
          <w:tcPr>
            <w:tcW w:w="1644" w:type="dxa"/>
            <w:hideMark/>
          </w:tcPr>
          <w:p w14:paraId="3F450EF1" w14:textId="77777777" w:rsidR="002E3A21" w:rsidRPr="00141203" w:rsidRDefault="002E3A21" w:rsidP="00141203">
            <w:pPr>
              <w:spacing w:line="360" w:lineRule="auto"/>
              <w:rPr>
                <w:rFonts w:ascii="Times New Roman" w:eastAsia="Times New Roman" w:hAnsi="Times New Roman" w:cs="Times New Roman"/>
                <w:color w:val="000000"/>
                <w:kern w:val="0"/>
                <w:lang w:eastAsia="zh-CN"/>
                <w14:ligatures w14:val="none"/>
              </w:rPr>
            </w:pPr>
            <w:r w:rsidRPr="00141203">
              <w:rPr>
                <w:rFonts w:ascii="Times New Roman" w:eastAsia="Times New Roman" w:hAnsi="Times New Roman" w:cs="Times New Roman"/>
                <w:color w:val="000000"/>
                <w:kern w:val="0"/>
                <w:lang w:eastAsia="zh-CN"/>
                <w14:ligatures w14:val="none"/>
              </w:rPr>
              <w:t>ESG Score</w:t>
            </w:r>
          </w:p>
        </w:tc>
        <w:tc>
          <w:tcPr>
            <w:tcW w:w="1051" w:type="dxa"/>
            <w:hideMark/>
          </w:tcPr>
          <w:p w14:paraId="575B0D04" w14:textId="77777777" w:rsidR="002E3A21" w:rsidRPr="00141203" w:rsidRDefault="002E3A21" w:rsidP="00141203">
            <w:pPr>
              <w:spacing w:line="360" w:lineRule="auto"/>
              <w:rPr>
                <w:rFonts w:ascii="Times New Roman" w:eastAsia="Times New Roman" w:hAnsi="Times New Roman" w:cs="Times New Roman"/>
                <w:color w:val="000000"/>
                <w:kern w:val="0"/>
                <w:lang w:eastAsia="zh-CN"/>
                <w14:ligatures w14:val="none"/>
              </w:rPr>
            </w:pPr>
            <w:r w:rsidRPr="00141203">
              <w:rPr>
                <w:rFonts w:ascii="Times New Roman" w:eastAsia="Times New Roman" w:hAnsi="Times New Roman" w:cs="Times New Roman"/>
                <w:color w:val="000000"/>
                <w:kern w:val="0"/>
                <w:lang w:eastAsia="zh-CN"/>
                <w14:ligatures w14:val="none"/>
              </w:rPr>
              <w:t>Float</w:t>
            </w:r>
          </w:p>
        </w:tc>
        <w:tc>
          <w:tcPr>
            <w:tcW w:w="3192" w:type="dxa"/>
          </w:tcPr>
          <w:p w14:paraId="2BBF4E24" w14:textId="1C46D47A" w:rsidR="002E3A21" w:rsidRPr="00141203" w:rsidRDefault="00971F7D" w:rsidP="00141203">
            <w:pPr>
              <w:spacing w:line="360" w:lineRule="auto"/>
              <w:rPr>
                <w:rFonts w:ascii="Times New Roman" w:eastAsia="Times New Roman" w:hAnsi="Times New Roman" w:cs="Times New Roman"/>
                <w:color w:val="000000"/>
                <w:kern w:val="0"/>
                <w:lang w:eastAsia="zh-CN"/>
                <w14:ligatures w14:val="none"/>
              </w:rPr>
            </w:pPr>
            <w:proofErr w:type="spellStart"/>
            <w:r w:rsidRPr="00141203">
              <w:rPr>
                <w:rFonts w:ascii="Times New Roman" w:eastAsia="Times New Roman" w:hAnsi="Times New Roman" w:cs="Times New Roman"/>
                <w:color w:val="000000"/>
                <w:kern w:val="0"/>
                <w:lang w:eastAsia="zh-CN"/>
                <w14:ligatures w14:val="none"/>
              </w:rPr>
              <w:t>Sustainanlytics</w:t>
            </w:r>
            <w:proofErr w:type="spellEnd"/>
          </w:p>
        </w:tc>
        <w:tc>
          <w:tcPr>
            <w:tcW w:w="3463" w:type="dxa"/>
            <w:hideMark/>
          </w:tcPr>
          <w:p w14:paraId="5B0F27A5" w14:textId="3B078D2A" w:rsidR="002E3A21" w:rsidRPr="00141203" w:rsidRDefault="002E3A21" w:rsidP="00141203">
            <w:pPr>
              <w:spacing w:line="360" w:lineRule="auto"/>
              <w:rPr>
                <w:rFonts w:ascii="Times New Roman" w:eastAsia="Times New Roman" w:hAnsi="Times New Roman" w:cs="Times New Roman"/>
                <w:color w:val="000000"/>
                <w:kern w:val="0"/>
                <w:lang w:eastAsia="zh-CN"/>
                <w14:ligatures w14:val="none"/>
              </w:rPr>
            </w:pPr>
            <w:r w:rsidRPr="00141203">
              <w:rPr>
                <w:rFonts w:ascii="Times New Roman" w:eastAsia="Times New Roman" w:hAnsi="Times New Roman" w:cs="Times New Roman"/>
                <w:color w:val="000000"/>
                <w:kern w:val="0"/>
                <w:lang w:eastAsia="zh-CN"/>
                <w14:ligatures w14:val="none"/>
              </w:rPr>
              <w:t>Numeric measure of environmental, social, and governance performance.</w:t>
            </w:r>
          </w:p>
        </w:tc>
      </w:tr>
      <w:tr w:rsidR="002E3A21" w:rsidRPr="00141203" w14:paraId="5A6B4021" w14:textId="77777777" w:rsidTr="00C57831">
        <w:trPr>
          <w:trHeight w:val="600"/>
        </w:trPr>
        <w:tc>
          <w:tcPr>
            <w:tcW w:w="1644" w:type="dxa"/>
            <w:hideMark/>
          </w:tcPr>
          <w:p w14:paraId="56590D8A" w14:textId="77777777" w:rsidR="002E3A21" w:rsidRPr="00141203" w:rsidRDefault="002E3A21" w:rsidP="00141203">
            <w:pPr>
              <w:spacing w:line="360" w:lineRule="auto"/>
              <w:rPr>
                <w:rFonts w:ascii="Times New Roman" w:eastAsia="Times New Roman" w:hAnsi="Times New Roman" w:cs="Times New Roman"/>
                <w:color w:val="000000"/>
                <w:kern w:val="0"/>
                <w:lang w:eastAsia="zh-CN"/>
                <w14:ligatures w14:val="none"/>
              </w:rPr>
            </w:pPr>
            <w:r w:rsidRPr="00141203">
              <w:rPr>
                <w:rFonts w:ascii="Times New Roman" w:eastAsia="Times New Roman" w:hAnsi="Times New Roman" w:cs="Times New Roman"/>
                <w:color w:val="000000"/>
                <w:kern w:val="0"/>
                <w:lang w:eastAsia="zh-CN"/>
                <w14:ligatures w14:val="none"/>
              </w:rPr>
              <w:t>ESG Risk</w:t>
            </w:r>
          </w:p>
        </w:tc>
        <w:tc>
          <w:tcPr>
            <w:tcW w:w="1051" w:type="dxa"/>
            <w:hideMark/>
          </w:tcPr>
          <w:p w14:paraId="31694492" w14:textId="77777777" w:rsidR="002E3A21" w:rsidRPr="00141203" w:rsidRDefault="002E3A21" w:rsidP="00141203">
            <w:pPr>
              <w:spacing w:line="360" w:lineRule="auto"/>
              <w:rPr>
                <w:rFonts w:ascii="Times New Roman" w:eastAsia="Times New Roman" w:hAnsi="Times New Roman" w:cs="Times New Roman"/>
                <w:color w:val="000000"/>
                <w:kern w:val="0"/>
                <w:lang w:eastAsia="zh-CN"/>
                <w14:ligatures w14:val="none"/>
              </w:rPr>
            </w:pPr>
            <w:r w:rsidRPr="00141203">
              <w:rPr>
                <w:rFonts w:ascii="Times New Roman" w:eastAsia="Times New Roman" w:hAnsi="Times New Roman" w:cs="Times New Roman"/>
                <w:color w:val="000000"/>
                <w:kern w:val="0"/>
                <w:lang w:eastAsia="zh-CN"/>
                <w14:ligatures w14:val="none"/>
              </w:rPr>
              <w:t>String</w:t>
            </w:r>
          </w:p>
        </w:tc>
        <w:tc>
          <w:tcPr>
            <w:tcW w:w="3192" w:type="dxa"/>
          </w:tcPr>
          <w:p w14:paraId="7A38FE82" w14:textId="645212AD" w:rsidR="002E3A21" w:rsidRPr="00141203" w:rsidRDefault="00971F7D" w:rsidP="00141203">
            <w:pPr>
              <w:spacing w:line="360" w:lineRule="auto"/>
              <w:rPr>
                <w:rFonts w:ascii="Times New Roman" w:eastAsia="Times New Roman" w:hAnsi="Times New Roman" w:cs="Times New Roman"/>
                <w:color w:val="000000"/>
                <w:kern w:val="0"/>
                <w:lang w:eastAsia="zh-CN"/>
                <w14:ligatures w14:val="none"/>
              </w:rPr>
            </w:pPr>
            <w:proofErr w:type="spellStart"/>
            <w:r w:rsidRPr="00141203">
              <w:rPr>
                <w:rFonts w:ascii="Times New Roman" w:eastAsia="Times New Roman" w:hAnsi="Times New Roman" w:cs="Times New Roman"/>
                <w:color w:val="000000"/>
                <w:kern w:val="0"/>
                <w:lang w:eastAsia="zh-CN"/>
                <w14:ligatures w14:val="none"/>
              </w:rPr>
              <w:t>Sustainanlytics</w:t>
            </w:r>
            <w:proofErr w:type="spellEnd"/>
          </w:p>
        </w:tc>
        <w:tc>
          <w:tcPr>
            <w:tcW w:w="3463" w:type="dxa"/>
            <w:hideMark/>
          </w:tcPr>
          <w:p w14:paraId="2E785BEC" w14:textId="2E89DEE7" w:rsidR="002E3A21" w:rsidRPr="00141203" w:rsidRDefault="002E3A21" w:rsidP="00141203">
            <w:pPr>
              <w:spacing w:line="360" w:lineRule="auto"/>
              <w:rPr>
                <w:rFonts w:ascii="Times New Roman" w:eastAsia="Times New Roman" w:hAnsi="Times New Roman" w:cs="Times New Roman"/>
                <w:color w:val="000000"/>
                <w:kern w:val="0"/>
                <w:lang w:eastAsia="zh-CN"/>
                <w14:ligatures w14:val="none"/>
              </w:rPr>
            </w:pPr>
            <w:r w:rsidRPr="00141203">
              <w:rPr>
                <w:rFonts w:ascii="Times New Roman" w:eastAsia="Times New Roman" w:hAnsi="Times New Roman" w:cs="Times New Roman"/>
                <w:color w:val="000000"/>
                <w:kern w:val="0"/>
                <w:lang w:eastAsia="zh-CN"/>
                <w14:ligatures w14:val="none"/>
              </w:rPr>
              <w:t>Categorical ESG Risk classification (Negligible, Low, Medium, High, Severe).</w:t>
            </w:r>
          </w:p>
        </w:tc>
      </w:tr>
      <w:tr w:rsidR="002E3A21" w:rsidRPr="00141203" w14:paraId="4525B7FA" w14:textId="77777777" w:rsidTr="00C57831">
        <w:trPr>
          <w:trHeight w:val="70"/>
        </w:trPr>
        <w:tc>
          <w:tcPr>
            <w:tcW w:w="1644" w:type="dxa"/>
            <w:hideMark/>
          </w:tcPr>
          <w:p w14:paraId="5F881232" w14:textId="77777777" w:rsidR="002E3A21" w:rsidRPr="00141203" w:rsidRDefault="002E3A21" w:rsidP="00141203">
            <w:pPr>
              <w:spacing w:line="360" w:lineRule="auto"/>
              <w:rPr>
                <w:rFonts w:ascii="Times New Roman" w:eastAsia="Times New Roman" w:hAnsi="Times New Roman" w:cs="Times New Roman"/>
                <w:color w:val="000000"/>
                <w:kern w:val="0"/>
                <w:lang w:eastAsia="zh-CN"/>
                <w14:ligatures w14:val="none"/>
              </w:rPr>
            </w:pPr>
            <w:r w:rsidRPr="00141203">
              <w:rPr>
                <w:rFonts w:ascii="Times New Roman" w:eastAsia="Times New Roman" w:hAnsi="Times New Roman" w:cs="Times New Roman"/>
                <w:color w:val="000000"/>
                <w:kern w:val="0"/>
                <w:lang w:eastAsia="zh-CN"/>
                <w14:ligatures w14:val="none"/>
              </w:rPr>
              <w:t>ESG Risk Numeric</w:t>
            </w:r>
          </w:p>
        </w:tc>
        <w:tc>
          <w:tcPr>
            <w:tcW w:w="1051" w:type="dxa"/>
            <w:hideMark/>
          </w:tcPr>
          <w:p w14:paraId="022EEAB3" w14:textId="77777777" w:rsidR="002E3A21" w:rsidRPr="00141203" w:rsidRDefault="002E3A21" w:rsidP="00141203">
            <w:pPr>
              <w:spacing w:line="360" w:lineRule="auto"/>
              <w:rPr>
                <w:rFonts w:ascii="Times New Roman" w:eastAsia="Times New Roman" w:hAnsi="Times New Roman" w:cs="Times New Roman"/>
                <w:color w:val="000000"/>
                <w:kern w:val="0"/>
                <w:lang w:eastAsia="zh-CN"/>
                <w14:ligatures w14:val="none"/>
              </w:rPr>
            </w:pPr>
            <w:r w:rsidRPr="00141203">
              <w:rPr>
                <w:rFonts w:ascii="Times New Roman" w:eastAsia="Times New Roman" w:hAnsi="Times New Roman" w:cs="Times New Roman"/>
                <w:color w:val="000000"/>
                <w:kern w:val="0"/>
                <w:lang w:eastAsia="zh-CN"/>
                <w14:ligatures w14:val="none"/>
              </w:rPr>
              <w:t>Integer</w:t>
            </w:r>
          </w:p>
        </w:tc>
        <w:tc>
          <w:tcPr>
            <w:tcW w:w="3192" w:type="dxa"/>
          </w:tcPr>
          <w:p w14:paraId="4F7920F8" w14:textId="0B05393C" w:rsidR="002E3A21" w:rsidRPr="00141203" w:rsidRDefault="00971F7D" w:rsidP="00141203">
            <w:pPr>
              <w:spacing w:line="360" w:lineRule="auto"/>
              <w:rPr>
                <w:rFonts w:ascii="Times New Roman" w:eastAsia="Times New Roman" w:hAnsi="Times New Roman" w:cs="Times New Roman"/>
                <w:color w:val="000000"/>
                <w:kern w:val="0"/>
                <w:lang w:eastAsia="zh-CN"/>
                <w14:ligatures w14:val="none"/>
              </w:rPr>
            </w:pPr>
            <w:r w:rsidRPr="00141203">
              <w:rPr>
                <w:rFonts w:ascii="Times New Roman" w:eastAsia="Times New Roman" w:hAnsi="Times New Roman" w:cs="Times New Roman"/>
                <w:color w:val="000000"/>
                <w:kern w:val="0"/>
                <w:lang w:eastAsia="zh-CN"/>
                <w14:ligatures w14:val="none"/>
              </w:rPr>
              <w:t>Both</w:t>
            </w:r>
          </w:p>
        </w:tc>
        <w:tc>
          <w:tcPr>
            <w:tcW w:w="3463" w:type="dxa"/>
            <w:hideMark/>
          </w:tcPr>
          <w:p w14:paraId="5CEE8308" w14:textId="18249BC9" w:rsidR="002E3A21" w:rsidRPr="00141203" w:rsidRDefault="002E3A21" w:rsidP="00141203">
            <w:pPr>
              <w:spacing w:line="360" w:lineRule="auto"/>
              <w:rPr>
                <w:rFonts w:ascii="Times New Roman" w:eastAsia="Times New Roman" w:hAnsi="Times New Roman" w:cs="Times New Roman"/>
                <w:color w:val="000000"/>
                <w:kern w:val="0"/>
                <w:lang w:eastAsia="zh-CN"/>
                <w14:ligatures w14:val="none"/>
              </w:rPr>
            </w:pPr>
            <w:r w:rsidRPr="00141203">
              <w:rPr>
                <w:rFonts w:ascii="Times New Roman" w:eastAsia="Times New Roman" w:hAnsi="Times New Roman" w:cs="Times New Roman"/>
                <w:color w:val="000000"/>
                <w:kern w:val="0"/>
                <w:lang w:eastAsia="zh-CN"/>
                <w14:ligatures w14:val="none"/>
              </w:rPr>
              <w:t>Numeric encoding of ESG Risk category.</w:t>
            </w:r>
          </w:p>
        </w:tc>
      </w:tr>
      <w:tr w:rsidR="002E3A21" w:rsidRPr="00141203" w14:paraId="2A9CE25D" w14:textId="77777777" w:rsidTr="00C57831">
        <w:trPr>
          <w:trHeight w:val="70"/>
        </w:trPr>
        <w:tc>
          <w:tcPr>
            <w:tcW w:w="1644" w:type="dxa"/>
          </w:tcPr>
          <w:p w14:paraId="1E5C64D3" w14:textId="7EE2579A" w:rsidR="002E3A21" w:rsidRPr="00141203" w:rsidRDefault="002E3A21" w:rsidP="00141203">
            <w:pPr>
              <w:spacing w:line="360" w:lineRule="auto"/>
              <w:rPr>
                <w:rFonts w:ascii="Times New Roman" w:eastAsia="Times New Roman" w:hAnsi="Times New Roman" w:cs="Times New Roman"/>
                <w:color w:val="000000"/>
                <w:kern w:val="0"/>
                <w:lang w:eastAsia="zh-CN"/>
                <w14:ligatures w14:val="none"/>
              </w:rPr>
            </w:pPr>
            <w:r w:rsidRPr="00141203">
              <w:rPr>
                <w:rFonts w:ascii="Times New Roman" w:eastAsia="Times New Roman" w:hAnsi="Times New Roman" w:cs="Times New Roman"/>
                <w:color w:val="000000"/>
                <w:kern w:val="0"/>
                <w:lang w:eastAsia="zh-CN"/>
                <w14:ligatures w14:val="none"/>
              </w:rPr>
              <w:t xml:space="preserve">ESG Label </w:t>
            </w:r>
          </w:p>
        </w:tc>
        <w:tc>
          <w:tcPr>
            <w:tcW w:w="1051" w:type="dxa"/>
          </w:tcPr>
          <w:p w14:paraId="5994A8AD" w14:textId="525E4F3B" w:rsidR="002E3A21" w:rsidRPr="00141203" w:rsidRDefault="002E3A21" w:rsidP="00141203">
            <w:pPr>
              <w:spacing w:line="360" w:lineRule="auto"/>
              <w:rPr>
                <w:rFonts w:ascii="Times New Roman" w:eastAsia="Times New Roman" w:hAnsi="Times New Roman" w:cs="Times New Roman"/>
                <w:color w:val="000000"/>
                <w:kern w:val="0"/>
                <w:lang w:eastAsia="zh-CN"/>
                <w14:ligatures w14:val="none"/>
              </w:rPr>
            </w:pPr>
            <w:r w:rsidRPr="00141203">
              <w:rPr>
                <w:rFonts w:ascii="Times New Roman" w:eastAsia="Times New Roman" w:hAnsi="Times New Roman" w:cs="Times New Roman"/>
                <w:color w:val="000000"/>
                <w:kern w:val="0"/>
                <w:lang w:eastAsia="zh-CN"/>
                <w14:ligatures w14:val="none"/>
              </w:rPr>
              <w:t>Boolean</w:t>
            </w:r>
          </w:p>
        </w:tc>
        <w:tc>
          <w:tcPr>
            <w:tcW w:w="3192" w:type="dxa"/>
          </w:tcPr>
          <w:p w14:paraId="67B29C8A" w14:textId="12A6455F" w:rsidR="002E3A21" w:rsidRPr="00141203" w:rsidRDefault="000C7080" w:rsidP="00141203">
            <w:pPr>
              <w:spacing w:line="360" w:lineRule="auto"/>
              <w:rPr>
                <w:rFonts w:ascii="Times New Roman" w:eastAsia="Times New Roman" w:hAnsi="Times New Roman" w:cs="Times New Roman"/>
                <w:color w:val="000000"/>
                <w:kern w:val="0"/>
                <w:lang w:eastAsia="zh-CN"/>
                <w14:ligatures w14:val="none"/>
              </w:rPr>
            </w:pPr>
            <w:r w:rsidRPr="00141203">
              <w:rPr>
                <w:rFonts w:ascii="Times New Roman" w:eastAsia="Times New Roman" w:hAnsi="Times New Roman" w:cs="Times New Roman"/>
                <w:color w:val="000000"/>
                <w:kern w:val="0"/>
                <w:lang w:eastAsia="zh-CN"/>
                <w14:ligatures w14:val="none"/>
              </w:rPr>
              <w:t>Both</w:t>
            </w:r>
          </w:p>
        </w:tc>
        <w:tc>
          <w:tcPr>
            <w:tcW w:w="3463" w:type="dxa"/>
          </w:tcPr>
          <w:p w14:paraId="3717E444" w14:textId="7E4CE9CF" w:rsidR="002E3A21" w:rsidRPr="00141203" w:rsidRDefault="002E3A21" w:rsidP="00141203">
            <w:pPr>
              <w:spacing w:line="360" w:lineRule="auto"/>
              <w:rPr>
                <w:rFonts w:ascii="Times New Roman" w:eastAsia="Times New Roman" w:hAnsi="Times New Roman" w:cs="Times New Roman"/>
                <w:color w:val="000000"/>
                <w:kern w:val="0"/>
                <w:lang w:eastAsia="zh-CN"/>
                <w14:ligatures w14:val="none"/>
              </w:rPr>
            </w:pPr>
            <w:r w:rsidRPr="00141203">
              <w:rPr>
                <w:rFonts w:ascii="Times New Roman" w:eastAsia="Times New Roman" w:hAnsi="Times New Roman" w:cs="Times New Roman"/>
                <w:color w:val="000000"/>
                <w:kern w:val="0"/>
                <w:lang w:eastAsia="zh-CN"/>
                <w14:ligatures w14:val="none"/>
              </w:rPr>
              <w:t>Binary classification of the risk classification (0: Negligible, Low, Medium, 1: High, Severe)</w:t>
            </w:r>
          </w:p>
        </w:tc>
      </w:tr>
    </w:tbl>
    <w:p w14:paraId="74E7EE9E" w14:textId="255FF3D3" w:rsidR="00F431EB" w:rsidRPr="00141203" w:rsidRDefault="00F431EB" w:rsidP="00141203">
      <w:pPr>
        <w:spacing w:line="360" w:lineRule="auto"/>
        <w:rPr>
          <w:rFonts w:ascii="Times New Roman" w:hAnsi="Times New Roman" w:cs="Times New Roman"/>
        </w:rPr>
      </w:pPr>
    </w:p>
    <w:p w14:paraId="1F2D5782" w14:textId="1D4260A0" w:rsidR="00B76439" w:rsidRPr="00141203" w:rsidRDefault="00A65D1E" w:rsidP="00141203">
      <w:pPr>
        <w:spacing w:line="360" w:lineRule="auto"/>
        <w:rPr>
          <w:rFonts w:ascii="Times New Roman" w:hAnsi="Times New Roman" w:cs="Times New Roman"/>
          <w:b/>
          <w:bCs/>
        </w:rPr>
      </w:pPr>
      <w:r w:rsidRPr="00141203">
        <w:rPr>
          <w:rFonts w:ascii="Times New Roman" w:hAnsi="Times New Roman" w:cs="Times New Roman"/>
          <w:b/>
          <w:bCs/>
        </w:rPr>
        <w:t xml:space="preserve">3. </w:t>
      </w:r>
      <w:r w:rsidR="009E4277" w:rsidRPr="00141203">
        <w:rPr>
          <w:rFonts w:ascii="Times New Roman" w:hAnsi="Times New Roman" w:cs="Times New Roman"/>
          <w:b/>
          <w:bCs/>
        </w:rPr>
        <w:t xml:space="preserve">Analysis </w:t>
      </w:r>
    </w:p>
    <w:p w14:paraId="35C071A2" w14:textId="601F8D6B" w:rsidR="00A70DC0" w:rsidRPr="00141203" w:rsidRDefault="00A70DC0" w:rsidP="00141203">
      <w:pPr>
        <w:spacing w:line="360" w:lineRule="auto"/>
        <w:rPr>
          <w:rFonts w:ascii="Times New Roman" w:hAnsi="Times New Roman" w:cs="Times New Roman"/>
          <w:i/>
          <w:iCs/>
        </w:rPr>
      </w:pPr>
      <w:r w:rsidRPr="00141203">
        <w:rPr>
          <w:rFonts w:ascii="Times New Roman" w:hAnsi="Times New Roman" w:cs="Times New Roman"/>
          <w:i/>
          <w:iCs/>
        </w:rPr>
        <w:t xml:space="preserve">3.1 </w:t>
      </w:r>
      <w:r w:rsidR="009D020C" w:rsidRPr="00141203">
        <w:rPr>
          <w:rFonts w:ascii="Times New Roman" w:hAnsi="Times New Roman" w:cs="Times New Roman"/>
          <w:i/>
          <w:iCs/>
        </w:rPr>
        <w:t>Financial</w:t>
      </w:r>
      <w:r w:rsidRPr="00141203">
        <w:rPr>
          <w:rFonts w:ascii="Times New Roman" w:hAnsi="Times New Roman" w:cs="Times New Roman"/>
          <w:i/>
          <w:iCs/>
        </w:rPr>
        <w:t xml:space="preserve"> </w:t>
      </w:r>
      <w:r w:rsidR="009D020C" w:rsidRPr="00141203">
        <w:rPr>
          <w:rFonts w:ascii="Times New Roman" w:hAnsi="Times New Roman" w:cs="Times New Roman"/>
          <w:i/>
          <w:iCs/>
        </w:rPr>
        <w:t>Performance</w:t>
      </w:r>
    </w:p>
    <w:p w14:paraId="654F816A" w14:textId="2BAFFC40" w:rsidR="00145235" w:rsidRPr="00141203" w:rsidRDefault="00DA23A7" w:rsidP="00141203">
      <w:pPr>
        <w:spacing w:before="100" w:beforeAutospacing="1" w:after="100" w:afterAutospacing="1" w:line="360" w:lineRule="auto"/>
        <w:rPr>
          <w:rFonts w:ascii="Times New Roman" w:eastAsia="Times New Roman" w:hAnsi="Times New Roman" w:cs="Times New Roman"/>
          <w:kern w:val="0"/>
          <w14:ligatures w14:val="none"/>
        </w:rPr>
      </w:pPr>
      <w:r w:rsidRPr="00141203">
        <w:rPr>
          <w:rFonts w:ascii="Times New Roman" w:eastAsia="Times New Roman" w:hAnsi="Times New Roman" w:cs="Times New Roman"/>
          <w:b/>
          <w:bCs/>
          <w:noProof/>
          <w:kern w:val="0"/>
        </w:rPr>
        <w:lastRenderedPageBreak/>
        <w:drawing>
          <wp:anchor distT="0" distB="0" distL="114300" distR="114300" simplePos="0" relativeHeight="251658240" behindDoc="1" locked="0" layoutInCell="1" allowOverlap="1" wp14:anchorId="6AF590BE" wp14:editId="5AD21813">
            <wp:simplePos x="0" y="0"/>
            <wp:positionH relativeFrom="column">
              <wp:posOffset>1219200</wp:posOffset>
            </wp:positionH>
            <wp:positionV relativeFrom="paragraph">
              <wp:posOffset>1559560</wp:posOffset>
            </wp:positionV>
            <wp:extent cx="3454400" cy="2809875"/>
            <wp:effectExtent l="0" t="0" r="0" b="0"/>
            <wp:wrapTopAndBottom/>
            <wp:docPr id="378902892" name="Picture 1" descr="A graph of a box p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02892" name="Picture 1" descr="A graph of a box plot&#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54400" cy="2809875"/>
                    </a:xfrm>
                    <a:prstGeom prst="rect">
                      <a:avLst/>
                    </a:prstGeom>
                  </pic:spPr>
                </pic:pic>
              </a:graphicData>
            </a:graphic>
            <wp14:sizeRelH relativeFrom="page">
              <wp14:pctWidth>0</wp14:pctWidth>
            </wp14:sizeRelH>
            <wp14:sizeRelV relativeFrom="page">
              <wp14:pctHeight>0</wp14:pctHeight>
            </wp14:sizeRelV>
          </wp:anchor>
        </w:drawing>
      </w:r>
      <w:r w:rsidR="00145235" w:rsidRPr="00141203">
        <w:rPr>
          <w:rFonts w:ascii="Times New Roman" w:eastAsia="Times New Roman" w:hAnsi="Times New Roman" w:cs="Times New Roman"/>
          <w:kern w:val="0"/>
          <w14:ligatures w14:val="none"/>
        </w:rPr>
        <w:t xml:space="preserve">To explore </w:t>
      </w:r>
      <w:r w:rsidR="009D020C" w:rsidRPr="00141203">
        <w:rPr>
          <w:rFonts w:ascii="Times New Roman" w:eastAsia="Times New Roman" w:hAnsi="Times New Roman" w:cs="Times New Roman"/>
          <w:kern w:val="0"/>
          <w14:ligatures w14:val="none"/>
        </w:rPr>
        <w:t xml:space="preserve">the relationship </w:t>
      </w:r>
      <w:r w:rsidR="00F53DF9" w:rsidRPr="00141203">
        <w:rPr>
          <w:rFonts w:ascii="Times New Roman" w:eastAsia="Times New Roman" w:hAnsi="Times New Roman" w:cs="Times New Roman"/>
          <w:kern w:val="0"/>
          <w14:ligatures w14:val="none"/>
        </w:rPr>
        <w:t>of company financial performance and ESG score</w:t>
      </w:r>
      <w:r w:rsidR="00145235" w:rsidRPr="00141203">
        <w:rPr>
          <w:rFonts w:ascii="Times New Roman" w:eastAsia="Times New Roman" w:hAnsi="Times New Roman" w:cs="Times New Roman"/>
          <w:kern w:val="0"/>
          <w14:ligatures w14:val="none"/>
        </w:rPr>
        <w:t xml:space="preserve">, </w:t>
      </w:r>
      <w:r w:rsidR="00BC34C5" w:rsidRPr="00141203">
        <w:rPr>
          <w:rFonts w:ascii="Times New Roman" w:eastAsia="Times New Roman" w:hAnsi="Times New Roman" w:cs="Times New Roman"/>
          <w:kern w:val="0"/>
          <w14:ligatures w14:val="none"/>
        </w:rPr>
        <w:t>w</w:t>
      </w:r>
      <w:r w:rsidR="00145235" w:rsidRPr="00141203">
        <w:rPr>
          <w:rFonts w:ascii="Times New Roman" w:eastAsia="Times New Roman" w:hAnsi="Times New Roman" w:cs="Times New Roman"/>
          <w:kern w:val="0"/>
          <w14:ligatures w14:val="none"/>
        </w:rPr>
        <w:t xml:space="preserve">e began our analysis with exploratory data analysis (EDA) and visualizations. A boxplot of Revenue (TTM) revealed significant positive skew, </w:t>
      </w:r>
      <w:r w:rsidR="00EA10EA" w:rsidRPr="00141203">
        <w:rPr>
          <w:rFonts w:ascii="Times New Roman" w:eastAsia="Times New Roman" w:hAnsi="Times New Roman" w:cs="Times New Roman"/>
          <w:kern w:val="0"/>
          <w14:ligatures w14:val="none"/>
        </w:rPr>
        <w:t>seen in Figure 1.</w:t>
      </w:r>
      <w:r w:rsidR="00DF4063" w:rsidRPr="00141203">
        <w:rPr>
          <w:rFonts w:ascii="Times New Roman" w:eastAsia="Times New Roman" w:hAnsi="Times New Roman" w:cs="Times New Roman"/>
          <w:kern w:val="0"/>
          <w14:ligatures w14:val="none"/>
        </w:rPr>
        <w:t xml:space="preserve"> The </w:t>
      </w:r>
      <w:r w:rsidR="00FC4F2D" w:rsidRPr="00141203">
        <w:rPr>
          <w:rFonts w:ascii="Times New Roman" w:eastAsia="Times New Roman" w:hAnsi="Times New Roman" w:cs="Times New Roman"/>
          <w:kern w:val="0"/>
          <w14:ligatures w14:val="none"/>
        </w:rPr>
        <w:t>plot (Figure 1)</w:t>
      </w:r>
      <w:r w:rsidR="00DF4063" w:rsidRPr="00141203">
        <w:rPr>
          <w:rFonts w:ascii="Times New Roman" w:eastAsia="Times New Roman" w:hAnsi="Times New Roman" w:cs="Times New Roman"/>
          <w:kern w:val="0"/>
          <w14:ligatures w14:val="none"/>
        </w:rPr>
        <w:t xml:space="preserve"> shows</w:t>
      </w:r>
      <w:r w:rsidR="00145235" w:rsidRPr="00141203">
        <w:rPr>
          <w:rFonts w:ascii="Times New Roman" w:eastAsia="Times New Roman" w:hAnsi="Times New Roman" w:cs="Times New Roman"/>
          <w:kern w:val="0"/>
          <w14:ligatures w14:val="none"/>
        </w:rPr>
        <w:t xml:space="preserve"> that while most companies generate moderate revenue, a few </w:t>
      </w:r>
      <w:r w:rsidR="000F69C3" w:rsidRPr="00141203">
        <w:rPr>
          <w:rFonts w:ascii="Times New Roman" w:eastAsia="Times New Roman" w:hAnsi="Times New Roman" w:cs="Times New Roman"/>
          <w:kern w:val="0"/>
          <w14:ligatures w14:val="none"/>
        </w:rPr>
        <w:t xml:space="preserve">high market </w:t>
      </w:r>
      <w:r w:rsidR="00C213D2" w:rsidRPr="00141203">
        <w:rPr>
          <w:rFonts w:ascii="Times New Roman" w:eastAsia="Times New Roman" w:hAnsi="Times New Roman" w:cs="Times New Roman"/>
          <w:kern w:val="0"/>
          <w14:ligatures w14:val="none"/>
        </w:rPr>
        <w:t>cap</w:t>
      </w:r>
      <w:r w:rsidR="005C4064" w:rsidRPr="00141203">
        <w:rPr>
          <w:rFonts w:ascii="Times New Roman" w:eastAsia="Times New Roman" w:hAnsi="Times New Roman" w:cs="Times New Roman"/>
          <w:kern w:val="0"/>
          <w14:ligatures w14:val="none"/>
        </w:rPr>
        <w:t xml:space="preserve"> </w:t>
      </w:r>
      <w:r w:rsidR="00145235" w:rsidRPr="00141203">
        <w:rPr>
          <w:rFonts w:ascii="Times New Roman" w:eastAsia="Times New Roman" w:hAnsi="Times New Roman" w:cs="Times New Roman"/>
          <w:kern w:val="0"/>
          <w14:ligatures w14:val="none"/>
        </w:rPr>
        <w:t xml:space="preserve">firms dominate the distribution. We followed this with an interquartile range (IQR) outlier detection process, quantifying extreme values and later creating a trimmed version of the dataset for model comparison. </w:t>
      </w:r>
    </w:p>
    <w:p w14:paraId="0AA92711" w14:textId="685FD4CF" w:rsidR="00F36A1C" w:rsidRPr="00141203" w:rsidRDefault="00D92D4F" w:rsidP="00141203">
      <w:pPr>
        <w:spacing w:before="100" w:beforeAutospacing="1" w:after="100" w:afterAutospacing="1" w:line="360" w:lineRule="auto"/>
        <w:jc w:val="center"/>
        <w:rPr>
          <w:rFonts w:ascii="Times New Roman" w:eastAsia="Times New Roman" w:hAnsi="Times New Roman" w:cs="Times New Roman"/>
          <w:kern w:val="0"/>
          <w14:ligatures w14:val="none"/>
        </w:rPr>
      </w:pPr>
      <w:r w:rsidRPr="00141203">
        <w:rPr>
          <w:rFonts w:ascii="Times New Roman" w:eastAsia="Times New Roman" w:hAnsi="Times New Roman" w:cs="Times New Roman"/>
          <w:kern w:val="0"/>
          <w14:ligatures w14:val="none"/>
        </w:rPr>
        <w:t xml:space="preserve">Figure 1: </w:t>
      </w:r>
      <w:r w:rsidR="005757E1" w:rsidRPr="00141203">
        <w:rPr>
          <w:rFonts w:ascii="Times New Roman" w:eastAsia="Times New Roman" w:hAnsi="Times New Roman" w:cs="Times New Roman"/>
          <w:kern w:val="0"/>
          <w14:ligatures w14:val="none"/>
        </w:rPr>
        <w:t>Boxplot of Revenue Distribution</w:t>
      </w:r>
    </w:p>
    <w:p w14:paraId="4B00B8BE" w14:textId="6B18C327" w:rsidR="001E2D56" w:rsidRPr="00141203" w:rsidRDefault="00145235" w:rsidP="00141203">
      <w:pPr>
        <w:spacing w:before="100" w:beforeAutospacing="1" w:after="100" w:afterAutospacing="1" w:line="360" w:lineRule="auto"/>
        <w:rPr>
          <w:rFonts w:ascii="Times New Roman" w:eastAsia="Times New Roman" w:hAnsi="Times New Roman" w:cs="Times New Roman"/>
          <w:kern w:val="0"/>
          <w14:ligatures w14:val="none"/>
        </w:rPr>
      </w:pPr>
      <w:r w:rsidRPr="00141203">
        <w:rPr>
          <w:rFonts w:ascii="Times New Roman" w:eastAsia="Times New Roman" w:hAnsi="Times New Roman" w:cs="Times New Roman"/>
          <w:kern w:val="0"/>
          <w14:ligatures w14:val="none"/>
        </w:rPr>
        <w:t xml:space="preserve">For our first model, we used linear regression to predict ESG score as a continuous variable using only revenue. This simple model was intended to test for any direct linear relationship between financial scale and ESG rating. However, the results showed very weak explanatory power, with both training and test </w:t>
      </w:r>
      <w:r w:rsidR="00E25E84" w:rsidRPr="00141203">
        <w:rPr>
          <w:rFonts w:ascii="Times New Roman" w:eastAsia="Times New Roman" w:hAnsi="Times New Roman" w:cs="Times New Roman"/>
          <w:kern w:val="0"/>
          <w14:ligatures w14:val="none"/>
        </w:rPr>
        <w:t>r-squared</w:t>
      </w:r>
      <w:r w:rsidRPr="00141203">
        <w:rPr>
          <w:rFonts w:ascii="Times New Roman" w:eastAsia="Times New Roman" w:hAnsi="Times New Roman" w:cs="Times New Roman"/>
          <w:kern w:val="0"/>
          <w14:ligatures w14:val="none"/>
        </w:rPr>
        <w:t xml:space="preserve"> values near zero. This indicated that revenue alone was not a meaningful predictor of ESG scores.</w:t>
      </w:r>
      <w:r w:rsidR="007C5708" w:rsidRPr="00141203">
        <w:rPr>
          <w:rFonts w:ascii="Times New Roman" w:eastAsia="Times New Roman" w:hAnsi="Times New Roman" w:cs="Times New Roman"/>
          <w:kern w:val="0"/>
          <w14:ligatures w14:val="none"/>
        </w:rPr>
        <w:t xml:space="preserve"> </w:t>
      </w:r>
      <w:r w:rsidRPr="00141203">
        <w:rPr>
          <w:rFonts w:ascii="Times New Roman" w:eastAsia="Times New Roman" w:hAnsi="Times New Roman" w:cs="Times New Roman"/>
          <w:kern w:val="0"/>
          <w14:ligatures w14:val="none"/>
        </w:rPr>
        <w:t xml:space="preserve">We then transitioned to a classification </w:t>
      </w:r>
      <w:r w:rsidR="004268AA" w:rsidRPr="00141203">
        <w:rPr>
          <w:rFonts w:ascii="Times New Roman" w:eastAsia="Times New Roman" w:hAnsi="Times New Roman" w:cs="Times New Roman"/>
          <w:kern w:val="0"/>
          <w14:ligatures w14:val="none"/>
        </w:rPr>
        <w:t>models</w:t>
      </w:r>
      <w:r w:rsidRPr="00141203">
        <w:rPr>
          <w:rFonts w:ascii="Times New Roman" w:eastAsia="Times New Roman" w:hAnsi="Times New Roman" w:cs="Times New Roman"/>
          <w:kern w:val="0"/>
          <w14:ligatures w14:val="none"/>
        </w:rPr>
        <w:t xml:space="preserve"> by </w:t>
      </w:r>
      <w:r w:rsidR="00A17EC0" w:rsidRPr="00141203">
        <w:rPr>
          <w:rFonts w:ascii="Times New Roman" w:eastAsia="Times New Roman" w:hAnsi="Times New Roman" w:cs="Times New Roman"/>
          <w:kern w:val="0"/>
          <w14:ligatures w14:val="none"/>
        </w:rPr>
        <w:t>creating a new</w:t>
      </w:r>
      <w:r w:rsidR="00BC1027" w:rsidRPr="00141203">
        <w:rPr>
          <w:rFonts w:ascii="Times New Roman" w:eastAsia="Times New Roman" w:hAnsi="Times New Roman" w:cs="Times New Roman"/>
          <w:kern w:val="0"/>
          <w14:ligatures w14:val="none"/>
        </w:rPr>
        <w:t xml:space="preserve"> binary</w:t>
      </w:r>
      <w:r w:rsidR="00A17EC0" w:rsidRPr="00141203">
        <w:rPr>
          <w:rFonts w:ascii="Times New Roman" w:eastAsia="Times New Roman" w:hAnsi="Times New Roman" w:cs="Times New Roman"/>
          <w:kern w:val="0"/>
          <w14:ligatures w14:val="none"/>
        </w:rPr>
        <w:t xml:space="preserve"> ESG </w:t>
      </w:r>
      <w:r w:rsidR="00BC1027" w:rsidRPr="00141203">
        <w:rPr>
          <w:rFonts w:ascii="Times New Roman" w:eastAsia="Times New Roman" w:hAnsi="Times New Roman" w:cs="Times New Roman"/>
          <w:kern w:val="0"/>
          <w14:ligatures w14:val="none"/>
        </w:rPr>
        <w:t>column</w:t>
      </w:r>
      <w:r w:rsidR="0070658A" w:rsidRPr="00141203">
        <w:rPr>
          <w:rFonts w:ascii="Times New Roman" w:eastAsia="Times New Roman" w:hAnsi="Times New Roman" w:cs="Times New Roman"/>
          <w:kern w:val="0"/>
          <w14:ligatures w14:val="none"/>
        </w:rPr>
        <w:t>. This column</w:t>
      </w:r>
      <w:r w:rsidR="003D20AE" w:rsidRPr="00141203">
        <w:rPr>
          <w:rFonts w:ascii="Times New Roman" w:eastAsia="Times New Roman" w:hAnsi="Times New Roman" w:cs="Times New Roman"/>
          <w:kern w:val="0"/>
          <w14:ligatures w14:val="none"/>
        </w:rPr>
        <w:t xml:space="preserve"> categorized </w:t>
      </w:r>
      <w:r w:rsidR="0070658A" w:rsidRPr="00141203">
        <w:rPr>
          <w:rFonts w:ascii="Times New Roman" w:eastAsia="Times New Roman" w:hAnsi="Times New Roman" w:cs="Times New Roman"/>
          <w:kern w:val="0"/>
          <w14:ligatures w14:val="none"/>
        </w:rPr>
        <w:t>companies</w:t>
      </w:r>
      <w:r w:rsidR="003D20AE" w:rsidRPr="00141203">
        <w:rPr>
          <w:rFonts w:ascii="Times New Roman" w:eastAsia="Times New Roman" w:hAnsi="Times New Roman" w:cs="Times New Roman"/>
          <w:kern w:val="0"/>
          <w14:ligatures w14:val="none"/>
        </w:rPr>
        <w:t xml:space="preserve"> </w:t>
      </w:r>
      <w:r w:rsidR="0070658A" w:rsidRPr="00141203">
        <w:rPr>
          <w:rFonts w:ascii="Times New Roman" w:eastAsia="Times New Roman" w:hAnsi="Times New Roman" w:cs="Times New Roman"/>
          <w:kern w:val="0"/>
          <w14:ligatures w14:val="none"/>
        </w:rPr>
        <w:t xml:space="preserve">into </w:t>
      </w:r>
      <w:r w:rsidRPr="00141203">
        <w:rPr>
          <w:rFonts w:ascii="Times New Roman" w:eastAsia="Times New Roman" w:hAnsi="Times New Roman" w:cs="Times New Roman"/>
          <w:kern w:val="0"/>
          <w14:ligatures w14:val="none"/>
        </w:rPr>
        <w:t>two groups</w:t>
      </w:r>
      <w:r w:rsidR="0070658A" w:rsidRPr="00141203">
        <w:rPr>
          <w:rFonts w:ascii="Times New Roman" w:eastAsia="Times New Roman" w:hAnsi="Times New Roman" w:cs="Times New Roman"/>
          <w:kern w:val="0"/>
          <w14:ligatures w14:val="none"/>
        </w:rPr>
        <w:t xml:space="preserve"> based on their risk rating</w:t>
      </w:r>
      <w:r w:rsidRPr="00141203">
        <w:rPr>
          <w:rFonts w:ascii="Times New Roman" w:eastAsia="Times New Roman" w:hAnsi="Times New Roman" w:cs="Times New Roman"/>
          <w:kern w:val="0"/>
          <w14:ligatures w14:val="none"/>
        </w:rPr>
        <w:t xml:space="preserve">: Low Risk (Negligible, Low, Medium) and High Risk (High, Severe). We </w:t>
      </w:r>
      <w:r w:rsidR="002311BB" w:rsidRPr="00141203">
        <w:rPr>
          <w:rFonts w:ascii="Times New Roman" w:eastAsia="Times New Roman" w:hAnsi="Times New Roman" w:cs="Times New Roman"/>
          <w:kern w:val="0"/>
          <w14:ligatures w14:val="none"/>
        </w:rPr>
        <w:t xml:space="preserve">then </w:t>
      </w:r>
      <w:r w:rsidRPr="00141203">
        <w:rPr>
          <w:rFonts w:ascii="Times New Roman" w:eastAsia="Times New Roman" w:hAnsi="Times New Roman" w:cs="Times New Roman"/>
          <w:kern w:val="0"/>
          <w14:ligatures w14:val="none"/>
        </w:rPr>
        <w:t>selected several financial features—Revenue (TTM), Market Cap, P/E Ratio, Gross Profits, EBITDA—and included the company’s Sector as a categorical variable. A preprocessing pipeline was developed usin</w:t>
      </w:r>
      <w:r w:rsidR="001557D9" w:rsidRPr="00141203">
        <w:rPr>
          <w:rFonts w:ascii="Times New Roman" w:eastAsia="Times New Roman" w:hAnsi="Times New Roman" w:cs="Times New Roman"/>
          <w:kern w:val="0"/>
          <w14:ligatures w14:val="none"/>
        </w:rPr>
        <w:t>g standardscalar</w:t>
      </w:r>
      <w:r w:rsidRPr="00141203">
        <w:rPr>
          <w:rFonts w:ascii="Times New Roman" w:eastAsia="Times New Roman" w:hAnsi="Times New Roman" w:cs="Times New Roman"/>
          <w:kern w:val="0"/>
          <w14:ligatures w14:val="none"/>
        </w:rPr>
        <w:t xml:space="preserve"> to standardize numeric features </w:t>
      </w:r>
      <w:r w:rsidR="001557D9" w:rsidRPr="00141203">
        <w:rPr>
          <w:rFonts w:ascii="Times New Roman" w:eastAsia="Times New Roman" w:hAnsi="Times New Roman" w:cs="Times New Roman"/>
          <w:kern w:val="0"/>
          <w14:ligatures w14:val="none"/>
        </w:rPr>
        <w:t>and onehotencoder</w:t>
      </w:r>
      <w:r w:rsidRPr="00141203">
        <w:rPr>
          <w:rFonts w:ascii="Times New Roman" w:eastAsia="Times New Roman" w:hAnsi="Times New Roman" w:cs="Times New Roman"/>
          <w:kern w:val="0"/>
          <w14:ligatures w14:val="none"/>
        </w:rPr>
        <w:t xml:space="preserve"> to encode the sector column. Our first classification model was</w:t>
      </w:r>
      <w:r w:rsidR="00CF3834" w:rsidRPr="00141203">
        <w:rPr>
          <w:rFonts w:ascii="Times New Roman" w:eastAsia="Times New Roman" w:hAnsi="Times New Roman" w:cs="Times New Roman"/>
          <w:kern w:val="0"/>
          <w14:ligatures w14:val="none"/>
        </w:rPr>
        <w:t xml:space="preserve"> a</w:t>
      </w:r>
      <w:r w:rsidRPr="00141203">
        <w:rPr>
          <w:rFonts w:ascii="Times New Roman" w:eastAsia="Times New Roman" w:hAnsi="Times New Roman" w:cs="Times New Roman"/>
          <w:kern w:val="0"/>
          <w14:ligatures w14:val="none"/>
        </w:rPr>
        <w:t xml:space="preserve"> logistic regression. The model was trained on an 80/20 train-test split and evaluated using a classification report and ROC-AUC score. The model achieved an AUC of approximately 0.63, indicating moderate predictive </w:t>
      </w:r>
      <w:r w:rsidRPr="00141203">
        <w:rPr>
          <w:rFonts w:ascii="Times New Roman" w:eastAsia="Times New Roman" w:hAnsi="Times New Roman" w:cs="Times New Roman"/>
          <w:kern w:val="0"/>
          <w14:ligatures w14:val="none"/>
        </w:rPr>
        <w:lastRenderedPageBreak/>
        <w:t>ability</w:t>
      </w:r>
      <w:r w:rsidR="008165D6" w:rsidRPr="00141203">
        <w:rPr>
          <w:rFonts w:ascii="Times New Roman" w:eastAsia="Times New Roman" w:hAnsi="Times New Roman" w:cs="Times New Roman"/>
          <w:kern w:val="0"/>
          <w14:ligatures w14:val="none"/>
        </w:rPr>
        <w:t>.</w:t>
      </w:r>
      <w:r w:rsidR="00EE4E77" w:rsidRPr="00141203">
        <w:rPr>
          <w:rFonts w:ascii="Times New Roman" w:eastAsia="Times New Roman" w:hAnsi="Times New Roman" w:cs="Times New Roman"/>
          <w:kern w:val="0"/>
          <w14:ligatures w14:val="none"/>
        </w:rPr>
        <w:t xml:space="preserve"> </w:t>
      </w:r>
      <w:r w:rsidR="009B6EB1" w:rsidRPr="00141203">
        <w:rPr>
          <w:rFonts w:ascii="Times New Roman" w:eastAsia="Times New Roman" w:hAnsi="Times New Roman" w:cs="Times New Roman"/>
          <w:kern w:val="0"/>
          <w14:ligatures w14:val="none"/>
        </w:rPr>
        <w:t>Next</w:t>
      </w:r>
      <w:r w:rsidRPr="00141203">
        <w:rPr>
          <w:rFonts w:ascii="Times New Roman" w:eastAsia="Times New Roman" w:hAnsi="Times New Roman" w:cs="Times New Roman"/>
          <w:kern w:val="0"/>
          <w14:ligatures w14:val="none"/>
        </w:rPr>
        <w:t xml:space="preserve">, we </w:t>
      </w:r>
      <w:r w:rsidR="003F2E7E" w:rsidRPr="00141203">
        <w:rPr>
          <w:rFonts w:ascii="Times New Roman" w:eastAsia="Times New Roman" w:hAnsi="Times New Roman" w:cs="Times New Roman"/>
          <w:kern w:val="0"/>
          <w14:ligatures w14:val="none"/>
        </w:rPr>
        <w:t>ran</w:t>
      </w:r>
      <w:r w:rsidRPr="00141203">
        <w:rPr>
          <w:rFonts w:ascii="Times New Roman" w:eastAsia="Times New Roman" w:hAnsi="Times New Roman" w:cs="Times New Roman"/>
          <w:kern w:val="0"/>
          <w14:ligatures w14:val="none"/>
        </w:rPr>
        <w:t xml:space="preserve"> a Random Forest Classifier to capture nonlinear relationships between features. Several versions were </w:t>
      </w:r>
      <w:proofErr w:type="gramStart"/>
      <w:r w:rsidR="00741EA3" w:rsidRPr="00141203">
        <w:rPr>
          <w:rFonts w:ascii="Times New Roman" w:eastAsia="Times New Roman" w:hAnsi="Times New Roman" w:cs="Times New Roman"/>
          <w:kern w:val="0"/>
          <w14:ligatures w14:val="none"/>
        </w:rPr>
        <w:t>ran</w:t>
      </w:r>
      <w:proofErr w:type="gramEnd"/>
      <w:r w:rsidRPr="00141203">
        <w:rPr>
          <w:rFonts w:ascii="Times New Roman" w:eastAsia="Times New Roman" w:hAnsi="Times New Roman" w:cs="Times New Roman"/>
          <w:kern w:val="0"/>
          <w14:ligatures w14:val="none"/>
        </w:rPr>
        <w:t xml:space="preserve">, varying in the number of estimators (100 vs. 500) and use of class weighting to </w:t>
      </w:r>
      <w:r w:rsidR="00F23532" w:rsidRPr="00141203">
        <w:rPr>
          <w:rFonts w:ascii="Times New Roman" w:eastAsia="Times New Roman" w:hAnsi="Times New Roman" w:cs="Times New Roman"/>
          <w:kern w:val="0"/>
          <w14:ligatures w14:val="none"/>
        </w:rPr>
        <w:t xml:space="preserve">try and </w:t>
      </w:r>
      <w:r w:rsidR="001A6D3F" w:rsidRPr="00141203">
        <w:rPr>
          <w:rFonts w:ascii="Times New Roman" w:eastAsia="Times New Roman" w:hAnsi="Times New Roman" w:cs="Times New Roman"/>
          <w:kern w:val="0"/>
          <w14:ligatures w14:val="none"/>
        </w:rPr>
        <w:t>balance the features</w:t>
      </w:r>
      <w:r w:rsidR="00A0599C" w:rsidRPr="00141203">
        <w:rPr>
          <w:rFonts w:ascii="Times New Roman" w:eastAsia="Times New Roman" w:hAnsi="Times New Roman" w:cs="Times New Roman"/>
          <w:kern w:val="0"/>
          <w14:ligatures w14:val="none"/>
        </w:rPr>
        <w:t xml:space="preserve"> (Figure 2)</w:t>
      </w:r>
      <w:r w:rsidRPr="00141203">
        <w:rPr>
          <w:rFonts w:ascii="Times New Roman" w:eastAsia="Times New Roman" w:hAnsi="Times New Roman" w:cs="Times New Roman"/>
          <w:kern w:val="0"/>
          <w14:ligatures w14:val="none"/>
        </w:rPr>
        <w:t xml:space="preserve">. </w:t>
      </w:r>
      <w:r w:rsidR="000610BF" w:rsidRPr="00141203">
        <w:rPr>
          <w:rFonts w:ascii="Times New Roman" w:eastAsia="Times New Roman" w:hAnsi="Times New Roman" w:cs="Times New Roman"/>
          <w:kern w:val="0"/>
          <w14:ligatures w14:val="none"/>
        </w:rPr>
        <w:t xml:space="preserve">The </w:t>
      </w:r>
      <w:r w:rsidRPr="00141203">
        <w:rPr>
          <w:rFonts w:ascii="Times New Roman" w:eastAsia="Times New Roman" w:hAnsi="Times New Roman" w:cs="Times New Roman"/>
          <w:kern w:val="0"/>
          <w14:ligatures w14:val="none"/>
        </w:rPr>
        <w:t xml:space="preserve">overall classification metrics </w:t>
      </w:r>
      <w:r w:rsidR="00141203" w:rsidRPr="00141203">
        <w:rPr>
          <w:rFonts w:ascii="Times New Roman" w:eastAsia="Times New Roman" w:hAnsi="Times New Roman" w:cs="Times New Roman"/>
          <w:noProof/>
          <w:kern w:val="0"/>
        </w:rPr>
        <w:drawing>
          <wp:anchor distT="0" distB="0" distL="114300" distR="114300" simplePos="0" relativeHeight="251658241" behindDoc="0" locked="0" layoutInCell="1" allowOverlap="1" wp14:anchorId="0262FF58" wp14:editId="16943679">
            <wp:simplePos x="0" y="0"/>
            <wp:positionH relativeFrom="column">
              <wp:posOffset>584200</wp:posOffset>
            </wp:positionH>
            <wp:positionV relativeFrom="paragraph">
              <wp:posOffset>1334135</wp:posOffset>
            </wp:positionV>
            <wp:extent cx="4470400" cy="2480690"/>
            <wp:effectExtent l="0" t="0" r="0" b="0"/>
            <wp:wrapTopAndBottom/>
            <wp:docPr id="614849452" name="Picture 2" descr="A bar chart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49452" name="Picture 2" descr="A bar chart with different colored bar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70400" cy="2480690"/>
                    </a:xfrm>
                    <a:prstGeom prst="rect">
                      <a:avLst/>
                    </a:prstGeom>
                  </pic:spPr>
                </pic:pic>
              </a:graphicData>
            </a:graphic>
            <wp14:sizeRelH relativeFrom="page">
              <wp14:pctWidth>0</wp14:pctWidth>
            </wp14:sizeRelH>
            <wp14:sizeRelV relativeFrom="page">
              <wp14:pctHeight>0</wp14:pctHeight>
            </wp14:sizeRelV>
          </wp:anchor>
        </w:drawing>
      </w:r>
      <w:r w:rsidRPr="00141203">
        <w:rPr>
          <w:rFonts w:ascii="Times New Roman" w:eastAsia="Times New Roman" w:hAnsi="Times New Roman" w:cs="Times New Roman"/>
          <w:kern w:val="0"/>
          <w14:ligatures w14:val="none"/>
        </w:rPr>
        <w:t xml:space="preserve">remained </w:t>
      </w:r>
      <w:proofErr w:type="gramStart"/>
      <w:r w:rsidRPr="00141203">
        <w:rPr>
          <w:rFonts w:ascii="Times New Roman" w:eastAsia="Times New Roman" w:hAnsi="Times New Roman" w:cs="Times New Roman"/>
          <w:kern w:val="0"/>
          <w14:ligatures w14:val="none"/>
        </w:rPr>
        <w:t>similar to</w:t>
      </w:r>
      <w:proofErr w:type="gramEnd"/>
      <w:r w:rsidRPr="00141203">
        <w:rPr>
          <w:rFonts w:ascii="Times New Roman" w:eastAsia="Times New Roman" w:hAnsi="Times New Roman" w:cs="Times New Roman"/>
          <w:kern w:val="0"/>
          <w14:ligatures w14:val="none"/>
        </w:rPr>
        <w:t xml:space="preserve"> logistic regression, </w:t>
      </w:r>
      <w:r w:rsidR="000610BF" w:rsidRPr="00141203">
        <w:rPr>
          <w:rFonts w:ascii="Times New Roman" w:eastAsia="Times New Roman" w:hAnsi="Times New Roman" w:cs="Times New Roman"/>
          <w:kern w:val="0"/>
          <w14:ligatures w14:val="none"/>
        </w:rPr>
        <w:t>but</w:t>
      </w:r>
      <w:r w:rsidRPr="00141203">
        <w:rPr>
          <w:rFonts w:ascii="Times New Roman" w:eastAsia="Times New Roman" w:hAnsi="Times New Roman" w:cs="Times New Roman"/>
          <w:kern w:val="0"/>
          <w14:ligatures w14:val="none"/>
        </w:rPr>
        <w:t xml:space="preserve"> </w:t>
      </w:r>
      <w:r w:rsidR="00DB0B24" w:rsidRPr="00141203">
        <w:rPr>
          <w:rFonts w:ascii="Times New Roman" w:eastAsia="Times New Roman" w:hAnsi="Times New Roman" w:cs="Times New Roman"/>
          <w:kern w:val="0"/>
          <w14:ligatures w14:val="none"/>
        </w:rPr>
        <w:t>random forests are harder to interpret</w:t>
      </w:r>
      <w:r w:rsidRPr="00141203">
        <w:rPr>
          <w:rFonts w:ascii="Times New Roman" w:eastAsia="Times New Roman" w:hAnsi="Times New Roman" w:cs="Times New Roman"/>
          <w:kern w:val="0"/>
          <w14:ligatures w14:val="none"/>
        </w:rPr>
        <w:t xml:space="preserve">. </w:t>
      </w:r>
    </w:p>
    <w:p w14:paraId="48D82EB9" w14:textId="2EFA1AB2" w:rsidR="00DD392C" w:rsidRPr="00141203" w:rsidRDefault="00DD392C" w:rsidP="00141203">
      <w:pPr>
        <w:spacing w:before="100" w:beforeAutospacing="1" w:after="100" w:afterAutospacing="1" w:line="360" w:lineRule="auto"/>
        <w:jc w:val="center"/>
        <w:rPr>
          <w:rFonts w:ascii="Times New Roman" w:eastAsia="Times New Roman" w:hAnsi="Times New Roman" w:cs="Times New Roman"/>
          <w:kern w:val="0"/>
          <w14:ligatures w14:val="none"/>
        </w:rPr>
      </w:pPr>
      <w:r w:rsidRPr="00141203">
        <w:rPr>
          <w:rFonts w:ascii="Times New Roman" w:eastAsia="Times New Roman" w:hAnsi="Times New Roman" w:cs="Times New Roman"/>
          <w:kern w:val="0"/>
          <w14:ligatures w14:val="none"/>
        </w:rPr>
        <w:t>Figure 2: Feature Importance for Predicting ESG Risk</w:t>
      </w:r>
    </w:p>
    <w:p w14:paraId="0D33D924" w14:textId="306C9FD4" w:rsidR="00145235" w:rsidRPr="00141203" w:rsidRDefault="00145235" w:rsidP="00141203">
      <w:pPr>
        <w:spacing w:before="100" w:beforeAutospacing="1" w:after="100" w:afterAutospacing="1" w:line="360" w:lineRule="auto"/>
        <w:rPr>
          <w:rFonts w:ascii="Times New Roman" w:eastAsia="Times New Roman" w:hAnsi="Times New Roman" w:cs="Times New Roman"/>
          <w:b/>
          <w:bCs/>
          <w:kern w:val="0"/>
          <w14:ligatures w14:val="none"/>
        </w:rPr>
      </w:pPr>
      <w:r w:rsidRPr="00141203">
        <w:rPr>
          <w:rFonts w:ascii="Times New Roman" w:eastAsia="Times New Roman" w:hAnsi="Times New Roman" w:cs="Times New Roman"/>
          <w:kern w:val="0"/>
          <w14:ligatures w14:val="none"/>
        </w:rPr>
        <w:t xml:space="preserve">We also tested a Decision Tree Classifier using the same pipeline. This model achieved an AUC-ROC of approximately 0.61, again demonstrating limited ability to </w:t>
      </w:r>
      <w:r w:rsidR="00B1302B" w:rsidRPr="00141203">
        <w:rPr>
          <w:rFonts w:ascii="Times New Roman" w:eastAsia="Times New Roman" w:hAnsi="Times New Roman" w:cs="Times New Roman"/>
          <w:kern w:val="0"/>
          <w14:ligatures w14:val="none"/>
        </w:rPr>
        <w:t>find a</w:t>
      </w:r>
      <w:r w:rsidRPr="00141203">
        <w:rPr>
          <w:rFonts w:ascii="Times New Roman" w:eastAsia="Times New Roman" w:hAnsi="Times New Roman" w:cs="Times New Roman"/>
          <w:kern w:val="0"/>
          <w14:ligatures w14:val="none"/>
        </w:rPr>
        <w:t xml:space="preserve"> relationship between financial performance and ESG classification.</w:t>
      </w:r>
      <w:r w:rsidR="00B1302B" w:rsidRPr="00141203">
        <w:rPr>
          <w:rFonts w:ascii="Times New Roman" w:eastAsia="Times New Roman" w:hAnsi="Times New Roman" w:cs="Times New Roman"/>
          <w:kern w:val="0"/>
          <w14:ligatures w14:val="none"/>
        </w:rPr>
        <w:t xml:space="preserve"> We think that the </w:t>
      </w:r>
      <w:r w:rsidR="004B17D1" w:rsidRPr="00141203">
        <w:rPr>
          <w:rFonts w:ascii="Times New Roman" w:eastAsia="Times New Roman" w:hAnsi="Times New Roman" w:cs="Times New Roman"/>
          <w:kern w:val="0"/>
          <w14:ligatures w14:val="none"/>
        </w:rPr>
        <w:t>model had some overfitting due to the outliers</w:t>
      </w:r>
      <w:r w:rsidRPr="00141203">
        <w:rPr>
          <w:rFonts w:ascii="Times New Roman" w:eastAsia="Times New Roman" w:hAnsi="Times New Roman" w:cs="Times New Roman"/>
          <w:kern w:val="0"/>
          <w14:ligatures w14:val="none"/>
        </w:rPr>
        <w:t>.</w:t>
      </w:r>
      <w:r w:rsidR="002B79FE" w:rsidRPr="00141203">
        <w:rPr>
          <w:rFonts w:ascii="Times New Roman" w:eastAsia="Times New Roman" w:hAnsi="Times New Roman" w:cs="Times New Roman"/>
          <w:kern w:val="0"/>
          <w14:ligatures w14:val="none"/>
        </w:rPr>
        <w:t xml:space="preserve"> </w:t>
      </w:r>
      <w:r w:rsidRPr="00141203">
        <w:rPr>
          <w:rFonts w:ascii="Times New Roman" w:eastAsia="Times New Roman" w:hAnsi="Times New Roman" w:cs="Times New Roman"/>
          <w:kern w:val="0"/>
          <w14:ligatures w14:val="none"/>
        </w:rPr>
        <w:t xml:space="preserve">Lastly, we implemented a Support Vector Machine (SVM) </w:t>
      </w:r>
      <w:r w:rsidR="002B79FE" w:rsidRPr="00141203">
        <w:rPr>
          <w:rFonts w:ascii="Times New Roman" w:eastAsia="Times New Roman" w:hAnsi="Times New Roman" w:cs="Times New Roman"/>
          <w:kern w:val="0"/>
          <w14:ligatures w14:val="none"/>
        </w:rPr>
        <w:t>model</w:t>
      </w:r>
      <w:r w:rsidRPr="00141203">
        <w:rPr>
          <w:rFonts w:ascii="Times New Roman" w:eastAsia="Times New Roman" w:hAnsi="Times New Roman" w:cs="Times New Roman"/>
          <w:kern w:val="0"/>
          <w14:ligatures w14:val="none"/>
        </w:rPr>
        <w:t xml:space="preserve">. The SVM outperformed other models in terms of </w:t>
      </w:r>
      <w:r w:rsidR="002B79FE" w:rsidRPr="00141203">
        <w:rPr>
          <w:rFonts w:ascii="Times New Roman" w:eastAsia="Times New Roman" w:hAnsi="Times New Roman" w:cs="Times New Roman"/>
          <w:kern w:val="0"/>
          <w14:ligatures w14:val="none"/>
        </w:rPr>
        <w:t>accuracy with a 0.88</w:t>
      </w:r>
      <w:r w:rsidR="003658F8" w:rsidRPr="00141203">
        <w:rPr>
          <w:rFonts w:ascii="Times New Roman" w:eastAsia="Times New Roman" w:hAnsi="Times New Roman" w:cs="Times New Roman"/>
          <w:kern w:val="0"/>
          <w14:ligatures w14:val="none"/>
        </w:rPr>
        <w:t xml:space="preserve"> </w:t>
      </w:r>
      <w:r w:rsidR="007E0AE3" w:rsidRPr="00141203">
        <w:rPr>
          <w:rFonts w:ascii="Times New Roman" w:eastAsia="Times New Roman" w:hAnsi="Times New Roman" w:cs="Times New Roman"/>
          <w:kern w:val="0"/>
          <w14:ligatures w14:val="none"/>
        </w:rPr>
        <w:t xml:space="preserve">and AUC </w:t>
      </w:r>
      <w:r w:rsidR="003658F8" w:rsidRPr="00141203">
        <w:rPr>
          <w:rFonts w:ascii="Times New Roman" w:eastAsia="Times New Roman" w:hAnsi="Times New Roman" w:cs="Times New Roman"/>
          <w:kern w:val="0"/>
          <w14:ligatures w14:val="none"/>
        </w:rPr>
        <w:t xml:space="preserve">(Figure 3) </w:t>
      </w:r>
      <w:r w:rsidRPr="00141203">
        <w:rPr>
          <w:rFonts w:ascii="Times New Roman" w:eastAsia="Times New Roman" w:hAnsi="Times New Roman" w:cs="Times New Roman"/>
          <w:kern w:val="0"/>
          <w14:ligatures w14:val="none"/>
        </w:rPr>
        <w:t>when trained on the trimmed dataset (with outliers removed). This suggests that extreme values may have</w:t>
      </w:r>
      <w:r w:rsidR="00BD6D9F" w:rsidRPr="00141203">
        <w:rPr>
          <w:rFonts w:ascii="Times New Roman" w:eastAsia="Times New Roman" w:hAnsi="Times New Roman" w:cs="Times New Roman"/>
          <w:kern w:val="0"/>
          <w14:ligatures w14:val="none"/>
        </w:rPr>
        <w:t xml:space="preserve"> </w:t>
      </w:r>
      <w:r w:rsidRPr="00141203">
        <w:rPr>
          <w:rFonts w:ascii="Times New Roman" w:eastAsia="Times New Roman" w:hAnsi="Times New Roman" w:cs="Times New Roman"/>
          <w:kern w:val="0"/>
          <w14:ligatures w14:val="none"/>
        </w:rPr>
        <w:t>introduced noise in other models. SVM was also able to balance performance across precision and recall more effectively than logistic regression and decision trees.</w:t>
      </w:r>
      <w:r w:rsidR="00E678F9" w:rsidRPr="00141203">
        <w:rPr>
          <w:rFonts w:ascii="Times New Roman" w:eastAsia="Times New Roman" w:hAnsi="Times New Roman" w:cs="Times New Roman"/>
          <w:noProof/>
          <w:kern w:val="0"/>
        </w:rPr>
        <w:t xml:space="preserve"> </w:t>
      </w:r>
    </w:p>
    <w:p w14:paraId="5E55544B" w14:textId="77777777" w:rsidR="00141203" w:rsidRDefault="00141203" w:rsidP="00141203">
      <w:pPr>
        <w:spacing w:before="100" w:beforeAutospacing="1" w:after="100" w:afterAutospacing="1" w:line="360" w:lineRule="auto"/>
        <w:jc w:val="center"/>
        <w:rPr>
          <w:rFonts w:ascii="Times New Roman" w:eastAsia="Times New Roman" w:hAnsi="Times New Roman" w:cs="Times New Roman"/>
          <w:kern w:val="0"/>
          <w14:ligatures w14:val="none"/>
        </w:rPr>
      </w:pPr>
    </w:p>
    <w:p w14:paraId="44E3CE25" w14:textId="77777777" w:rsidR="00141203" w:rsidRDefault="00141203" w:rsidP="00141203">
      <w:pPr>
        <w:spacing w:before="100" w:beforeAutospacing="1" w:after="100" w:afterAutospacing="1" w:line="360" w:lineRule="auto"/>
        <w:jc w:val="center"/>
        <w:rPr>
          <w:rFonts w:ascii="Times New Roman" w:eastAsia="Times New Roman" w:hAnsi="Times New Roman" w:cs="Times New Roman"/>
          <w:kern w:val="0"/>
          <w14:ligatures w14:val="none"/>
        </w:rPr>
      </w:pPr>
    </w:p>
    <w:p w14:paraId="21A062E3" w14:textId="77777777" w:rsidR="00141203" w:rsidRDefault="00141203" w:rsidP="00141203">
      <w:pPr>
        <w:spacing w:before="100" w:beforeAutospacing="1" w:after="100" w:afterAutospacing="1" w:line="360" w:lineRule="auto"/>
        <w:jc w:val="center"/>
        <w:rPr>
          <w:rFonts w:ascii="Times New Roman" w:eastAsia="Times New Roman" w:hAnsi="Times New Roman" w:cs="Times New Roman"/>
          <w:kern w:val="0"/>
          <w14:ligatures w14:val="none"/>
        </w:rPr>
      </w:pPr>
    </w:p>
    <w:p w14:paraId="576C5E4A" w14:textId="77777777" w:rsidR="00141203" w:rsidRDefault="00141203" w:rsidP="00141203">
      <w:pPr>
        <w:spacing w:before="100" w:beforeAutospacing="1" w:after="100" w:afterAutospacing="1" w:line="360" w:lineRule="auto"/>
        <w:jc w:val="center"/>
        <w:rPr>
          <w:rFonts w:ascii="Times New Roman" w:eastAsia="Times New Roman" w:hAnsi="Times New Roman" w:cs="Times New Roman"/>
          <w:kern w:val="0"/>
          <w14:ligatures w14:val="none"/>
        </w:rPr>
      </w:pPr>
    </w:p>
    <w:p w14:paraId="09A277BD" w14:textId="38858B36" w:rsidR="00E678F9" w:rsidRPr="00141203" w:rsidRDefault="00141203" w:rsidP="00141203">
      <w:pPr>
        <w:spacing w:before="100" w:beforeAutospacing="1" w:after="100" w:afterAutospacing="1" w:line="360" w:lineRule="auto"/>
        <w:jc w:val="center"/>
        <w:rPr>
          <w:rFonts w:ascii="Times New Roman" w:eastAsia="Times New Roman" w:hAnsi="Times New Roman" w:cs="Times New Roman"/>
          <w:kern w:val="0"/>
          <w14:ligatures w14:val="none"/>
        </w:rPr>
      </w:pPr>
      <w:r w:rsidRPr="00141203">
        <w:rPr>
          <w:rFonts w:ascii="Times New Roman" w:eastAsia="Times New Roman" w:hAnsi="Times New Roman" w:cs="Times New Roman"/>
          <w:noProof/>
          <w:kern w:val="0"/>
        </w:rPr>
        <w:lastRenderedPageBreak/>
        <w:drawing>
          <wp:anchor distT="0" distB="0" distL="114300" distR="114300" simplePos="0" relativeHeight="251658242" behindDoc="0" locked="0" layoutInCell="1" allowOverlap="1" wp14:anchorId="7AF75434" wp14:editId="2CF6D3A7">
            <wp:simplePos x="0" y="0"/>
            <wp:positionH relativeFrom="column">
              <wp:posOffset>1371600</wp:posOffset>
            </wp:positionH>
            <wp:positionV relativeFrom="paragraph">
              <wp:posOffset>21590</wp:posOffset>
            </wp:positionV>
            <wp:extent cx="3035300" cy="2320925"/>
            <wp:effectExtent l="0" t="0" r="0" b="3175"/>
            <wp:wrapTopAndBottom/>
            <wp:docPr id="1110222334" name="Picture 3"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22334" name="Picture 3" descr="A graph of a curv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5300" cy="2320925"/>
                    </a:xfrm>
                    <a:prstGeom prst="rect">
                      <a:avLst/>
                    </a:prstGeom>
                  </pic:spPr>
                </pic:pic>
              </a:graphicData>
            </a:graphic>
            <wp14:sizeRelH relativeFrom="page">
              <wp14:pctWidth>0</wp14:pctWidth>
            </wp14:sizeRelH>
            <wp14:sizeRelV relativeFrom="page">
              <wp14:pctHeight>0</wp14:pctHeight>
            </wp14:sizeRelV>
          </wp:anchor>
        </w:drawing>
      </w:r>
      <w:r w:rsidR="00E678F9" w:rsidRPr="00141203">
        <w:rPr>
          <w:rFonts w:ascii="Times New Roman" w:eastAsia="Times New Roman" w:hAnsi="Times New Roman" w:cs="Times New Roman"/>
          <w:kern w:val="0"/>
          <w14:ligatures w14:val="none"/>
        </w:rPr>
        <w:t>Figure 3: SVM ROC-AUC Curve</w:t>
      </w:r>
    </w:p>
    <w:p w14:paraId="0A8374E3" w14:textId="5B56D34E" w:rsidR="00AC7741" w:rsidRPr="00141203" w:rsidRDefault="00145235" w:rsidP="00141203">
      <w:pPr>
        <w:spacing w:before="100" w:beforeAutospacing="1" w:after="100" w:afterAutospacing="1" w:line="360" w:lineRule="auto"/>
        <w:rPr>
          <w:rFonts w:ascii="Times New Roman" w:eastAsia="Times New Roman" w:hAnsi="Times New Roman" w:cs="Times New Roman"/>
          <w:kern w:val="0"/>
          <w14:ligatures w14:val="none"/>
        </w:rPr>
      </w:pPr>
      <w:r w:rsidRPr="00141203">
        <w:rPr>
          <w:rFonts w:ascii="Times New Roman" w:eastAsia="Times New Roman" w:hAnsi="Times New Roman" w:cs="Times New Roman"/>
          <w:kern w:val="0"/>
          <w14:ligatures w14:val="none"/>
        </w:rPr>
        <w:t xml:space="preserve">Across all models, a consistent theme emerged: while there is some weak signal in financial data related to ESG </w:t>
      </w:r>
      <w:r w:rsidR="00B40163" w:rsidRPr="00141203">
        <w:rPr>
          <w:rFonts w:ascii="Times New Roman" w:eastAsia="Times New Roman" w:hAnsi="Times New Roman" w:cs="Times New Roman"/>
          <w:kern w:val="0"/>
          <w14:ligatures w14:val="none"/>
        </w:rPr>
        <w:t>score</w:t>
      </w:r>
      <w:r w:rsidRPr="00141203">
        <w:rPr>
          <w:rFonts w:ascii="Times New Roman" w:eastAsia="Times New Roman" w:hAnsi="Times New Roman" w:cs="Times New Roman"/>
          <w:kern w:val="0"/>
          <w14:ligatures w14:val="none"/>
        </w:rPr>
        <w:t xml:space="preserve">, it is not strong enough to build a highly accurate model. </w:t>
      </w:r>
    </w:p>
    <w:p w14:paraId="45CD8B74" w14:textId="26BF0DDC" w:rsidR="00F45009" w:rsidRPr="00141203" w:rsidRDefault="002A7824" w:rsidP="00141203">
      <w:pPr>
        <w:spacing w:line="360" w:lineRule="auto"/>
        <w:rPr>
          <w:rFonts w:ascii="Times New Roman" w:hAnsi="Times New Roman" w:cs="Times New Roman"/>
          <w:i/>
        </w:rPr>
      </w:pPr>
      <w:r w:rsidRPr="00141203">
        <w:rPr>
          <w:rFonts w:ascii="Times New Roman" w:hAnsi="Times New Roman" w:cs="Times New Roman"/>
          <w:i/>
        </w:rPr>
        <w:t>3.2</w:t>
      </w:r>
      <w:r w:rsidR="009B7C9D" w:rsidRPr="00141203">
        <w:rPr>
          <w:rFonts w:ascii="Times New Roman" w:hAnsi="Times New Roman" w:cs="Times New Roman"/>
          <w:i/>
        </w:rPr>
        <w:t xml:space="preserve"> Sec</w:t>
      </w:r>
      <w:r w:rsidR="00D3049D" w:rsidRPr="00141203">
        <w:rPr>
          <w:rFonts w:ascii="Times New Roman" w:hAnsi="Times New Roman" w:cs="Times New Roman"/>
          <w:i/>
        </w:rPr>
        <w:t>tor Influence</w:t>
      </w:r>
      <w:r w:rsidR="00FE4961" w:rsidRPr="00141203">
        <w:rPr>
          <w:rFonts w:ascii="Times New Roman" w:hAnsi="Times New Roman" w:cs="Times New Roman"/>
          <w:i/>
        </w:rPr>
        <w:t xml:space="preserve"> on ESG scores </w:t>
      </w:r>
    </w:p>
    <w:p w14:paraId="7A19577C" w14:textId="389E5D92" w:rsidR="002A7824" w:rsidRPr="00141203" w:rsidRDefault="00141203" w:rsidP="00141203">
      <w:pPr>
        <w:spacing w:line="360" w:lineRule="auto"/>
        <w:rPr>
          <w:rFonts w:ascii="Times New Roman" w:hAnsi="Times New Roman" w:cs="Times New Roman"/>
        </w:rPr>
      </w:pPr>
      <w:r w:rsidRPr="00141203">
        <w:rPr>
          <w:rFonts w:ascii="Times New Roman" w:hAnsi="Times New Roman" w:cs="Times New Roman"/>
        </w:rPr>
        <w:drawing>
          <wp:anchor distT="0" distB="0" distL="114300" distR="114300" simplePos="0" relativeHeight="251659269" behindDoc="0" locked="0" layoutInCell="1" allowOverlap="1" wp14:anchorId="4A9B9971" wp14:editId="2842FD29">
            <wp:simplePos x="0" y="0"/>
            <wp:positionH relativeFrom="column">
              <wp:posOffset>1143543</wp:posOffset>
            </wp:positionH>
            <wp:positionV relativeFrom="paragraph">
              <wp:posOffset>1028065</wp:posOffset>
            </wp:positionV>
            <wp:extent cx="3769018" cy="2760322"/>
            <wp:effectExtent l="0" t="0" r="3175" b="0"/>
            <wp:wrapTopAndBottom/>
            <wp:docPr id="344875612" name="Picture 1" descr="A pie chart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75612" name="Picture 1" descr="A pie chart with numbers and text&#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69018" cy="2760322"/>
                    </a:xfrm>
                    <a:prstGeom prst="rect">
                      <a:avLst/>
                    </a:prstGeom>
                  </pic:spPr>
                </pic:pic>
              </a:graphicData>
            </a:graphic>
            <wp14:sizeRelH relativeFrom="page">
              <wp14:pctWidth>0</wp14:pctWidth>
            </wp14:sizeRelH>
            <wp14:sizeRelV relativeFrom="page">
              <wp14:pctHeight>0</wp14:pctHeight>
            </wp14:sizeRelV>
          </wp:anchor>
        </w:drawing>
      </w:r>
      <w:r w:rsidR="002A7824" w:rsidRPr="00141203">
        <w:rPr>
          <w:rFonts w:ascii="Times New Roman" w:hAnsi="Times New Roman" w:cs="Times New Roman"/>
        </w:rPr>
        <w:t xml:space="preserve">To determine whether a company’s sector influences its ESG score, we </w:t>
      </w:r>
      <w:r w:rsidR="002A7824" w:rsidRPr="00141203">
        <w:rPr>
          <w:rFonts w:ascii="Times New Roman" w:hAnsi="Times New Roman" w:cs="Times New Roman"/>
        </w:rPr>
        <w:t>visualized the distribution using a histogram. We also created a pie chart showing the distribution of companies across sectors</w:t>
      </w:r>
      <w:r w:rsidR="00C75BAF" w:rsidRPr="00141203">
        <w:rPr>
          <w:rFonts w:ascii="Times New Roman" w:hAnsi="Times New Roman" w:cs="Times New Roman"/>
        </w:rPr>
        <w:t xml:space="preserve"> (Figure </w:t>
      </w:r>
      <w:r w:rsidR="003658F8" w:rsidRPr="00141203">
        <w:rPr>
          <w:rFonts w:ascii="Times New Roman" w:hAnsi="Times New Roman" w:cs="Times New Roman"/>
        </w:rPr>
        <w:t>4</w:t>
      </w:r>
      <w:r w:rsidR="00C75BAF" w:rsidRPr="00141203">
        <w:rPr>
          <w:rFonts w:ascii="Times New Roman" w:hAnsi="Times New Roman" w:cs="Times New Roman"/>
        </w:rPr>
        <w:t>)</w:t>
      </w:r>
      <w:r w:rsidR="002A7824" w:rsidRPr="00141203">
        <w:rPr>
          <w:rFonts w:ascii="Times New Roman" w:hAnsi="Times New Roman" w:cs="Times New Roman"/>
        </w:rPr>
        <w:t>, which provided insight into how balanced our dataset was in terms of industry representation.</w:t>
      </w:r>
    </w:p>
    <w:p w14:paraId="3203A3BB" w14:textId="00A005FF" w:rsidR="00B7190C" w:rsidRPr="00141203" w:rsidRDefault="00B7190C" w:rsidP="00141203">
      <w:pPr>
        <w:spacing w:line="360" w:lineRule="auto"/>
        <w:jc w:val="center"/>
        <w:rPr>
          <w:rFonts w:ascii="Times New Roman" w:hAnsi="Times New Roman" w:cs="Times New Roman"/>
        </w:rPr>
      </w:pPr>
      <w:r w:rsidRPr="00141203">
        <w:rPr>
          <w:rFonts w:ascii="Times New Roman" w:hAnsi="Times New Roman" w:cs="Times New Roman"/>
        </w:rPr>
        <w:t xml:space="preserve">Figure </w:t>
      </w:r>
      <w:r w:rsidR="003658F8" w:rsidRPr="00141203">
        <w:rPr>
          <w:rFonts w:ascii="Times New Roman" w:hAnsi="Times New Roman" w:cs="Times New Roman"/>
        </w:rPr>
        <w:t>4</w:t>
      </w:r>
      <w:r w:rsidRPr="00141203">
        <w:rPr>
          <w:rFonts w:ascii="Times New Roman" w:hAnsi="Times New Roman" w:cs="Times New Roman"/>
        </w:rPr>
        <w:t>: Distribution of Sectors</w:t>
      </w:r>
    </w:p>
    <w:p w14:paraId="393E2430" w14:textId="04698078" w:rsidR="002A7824" w:rsidRPr="00141203" w:rsidRDefault="00141203" w:rsidP="00141203">
      <w:pPr>
        <w:spacing w:line="360" w:lineRule="auto"/>
        <w:rPr>
          <w:rFonts w:ascii="Times New Roman" w:hAnsi="Times New Roman" w:cs="Times New Roman"/>
        </w:rPr>
      </w:pPr>
      <w:r w:rsidRPr="00141203">
        <w:rPr>
          <w:rFonts w:ascii="Times New Roman" w:hAnsi="Times New Roman" w:cs="Times New Roman"/>
        </w:rPr>
        <w:lastRenderedPageBreak/>
        <w:drawing>
          <wp:anchor distT="0" distB="0" distL="114300" distR="114300" simplePos="0" relativeHeight="251660293" behindDoc="0" locked="0" layoutInCell="1" allowOverlap="1" wp14:anchorId="378BBB59" wp14:editId="2B52F30D">
            <wp:simplePos x="0" y="0"/>
            <wp:positionH relativeFrom="column">
              <wp:posOffset>342900</wp:posOffset>
            </wp:positionH>
            <wp:positionV relativeFrom="paragraph">
              <wp:posOffset>1092835</wp:posOffset>
            </wp:positionV>
            <wp:extent cx="5305825" cy="2641008"/>
            <wp:effectExtent l="0" t="0" r="3175" b="635"/>
            <wp:wrapTopAndBottom/>
            <wp:docPr id="250472190" name="Picture 1" descr="A chart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72190" name="Picture 1" descr="A chart of different colored square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05825" cy="2641008"/>
                    </a:xfrm>
                    <a:prstGeom prst="rect">
                      <a:avLst/>
                    </a:prstGeom>
                  </pic:spPr>
                </pic:pic>
              </a:graphicData>
            </a:graphic>
            <wp14:sizeRelH relativeFrom="page">
              <wp14:pctWidth>0</wp14:pctWidth>
            </wp14:sizeRelH>
            <wp14:sizeRelV relativeFrom="page">
              <wp14:pctHeight>0</wp14:pctHeight>
            </wp14:sizeRelV>
          </wp:anchor>
        </w:drawing>
      </w:r>
      <w:r w:rsidR="002A7824" w:rsidRPr="00141203">
        <w:rPr>
          <w:rFonts w:ascii="Times New Roman" w:hAnsi="Times New Roman" w:cs="Times New Roman"/>
        </w:rPr>
        <w:t xml:space="preserve">We then explored whether ESG scores varied by sector. To do this, we generated a boxplot comparing ESG scores across all sectors. The visualization (Figure </w:t>
      </w:r>
      <w:r w:rsidR="003658F8" w:rsidRPr="00141203">
        <w:rPr>
          <w:rFonts w:ascii="Times New Roman" w:hAnsi="Times New Roman" w:cs="Times New Roman"/>
        </w:rPr>
        <w:t>5</w:t>
      </w:r>
      <w:r w:rsidR="002A7824" w:rsidRPr="00141203">
        <w:rPr>
          <w:rFonts w:ascii="Times New Roman" w:hAnsi="Times New Roman" w:cs="Times New Roman"/>
        </w:rPr>
        <w:t>) revealed notable differences in the median and spread of ESG scores between industries, suggesting that sector may influence a company's ESG performance.</w:t>
      </w:r>
    </w:p>
    <w:p w14:paraId="3A88C6DF" w14:textId="2F87B64D" w:rsidR="000C78D3" w:rsidRPr="00141203" w:rsidRDefault="000C78D3" w:rsidP="00141203">
      <w:pPr>
        <w:spacing w:line="360" w:lineRule="auto"/>
        <w:rPr>
          <w:rFonts w:ascii="Times New Roman" w:hAnsi="Times New Roman" w:cs="Times New Roman"/>
        </w:rPr>
      </w:pPr>
    </w:p>
    <w:p w14:paraId="1FFF0DE5" w14:textId="7C6EBC41" w:rsidR="002A7824" w:rsidRPr="00141203" w:rsidRDefault="002A7824" w:rsidP="00141203">
      <w:pPr>
        <w:spacing w:line="360" w:lineRule="auto"/>
        <w:jc w:val="center"/>
        <w:rPr>
          <w:rFonts w:ascii="Times New Roman" w:hAnsi="Times New Roman" w:cs="Times New Roman"/>
        </w:rPr>
      </w:pPr>
      <w:r w:rsidRPr="00141203">
        <w:rPr>
          <w:rFonts w:ascii="Times New Roman" w:hAnsi="Times New Roman" w:cs="Times New Roman"/>
        </w:rPr>
        <w:t xml:space="preserve">Figure </w:t>
      </w:r>
      <w:r w:rsidR="003658F8" w:rsidRPr="00141203">
        <w:rPr>
          <w:rFonts w:ascii="Times New Roman" w:hAnsi="Times New Roman" w:cs="Times New Roman"/>
        </w:rPr>
        <w:t>5</w:t>
      </w:r>
      <w:r w:rsidRPr="00141203">
        <w:rPr>
          <w:rFonts w:ascii="Times New Roman" w:hAnsi="Times New Roman" w:cs="Times New Roman"/>
        </w:rPr>
        <w:t>. ESG Score by Sector</w:t>
      </w:r>
      <w:r w:rsidR="00F700DC" w:rsidRPr="00141203">
        <w:rPr>
          <w:rFonts w:ascii="Times New Roman" w:hAnsi="Times New Roman" w:cs="Times New Roman"/>
        </w:rPr>
        <w:t xml:space="preserve"> Boxplot </w:t>
      </w:r>
    </w:p>
    <w:p w14:paraId="64F4A0F1" w14:textId="10CD661A" w:rsidR="002A7824" w:rsidRPr="00141203" w:rsidRDefault="002A7824" w:rsidP="00141203">
      <w:pPr>
        <w:spacing w:line="360" w:lineRule="auto"/>
        <w:rPr>
          <w:rFonts w:ascii="Times New Roman" w:hAnsi="Times New Roman" w:cs="Times New Roman"/>
        </w:rPr>
      </w:pPr>
      <w:r w:rsidRPr="00141203">
        <w:rPr>
          <w:rFonts w:ascii="Times New Roman" w:hAnsi="Times New Roman" w:cs="Times New Roman"/>
        </w:rPr>
        <w:t xml:space="preserve">After visually identifying potential sector-based trends, we prepared the data for modeling. Since ‘Sector’ is a categorical variable, we applied one-hot encoding to convert it into numerical features. This allowed us to include sector as an input for regression and classification models. We used the encoded sector columns as predictors and ESG score (for regression) or </w:t>
      </w:r>
      <w:proofErr w:type="spellStart"/>
      <w:r w:rsidRPr="00141203">
        <w:rPr>
          <w:rFonts w:ascii="Times New Roman" w:hAnsi="Times New Roman" w:cs="Times New Roman"/>
        </w:rPr>
        <w:t>ESG_label</w:t>
      </w:r>
      <w:proofErr w:type="spellEnd"/>
      <w:r w:rsidRPr="00141203">
        <w:rPr>
          <w:rFonts w:ascii="Times New Roman" w:hAnsi="Times New Roman" w:cs="Times New Roman"/>
        </w:rPr>
        <w:t xml:space="preserve"> (for classification) as the target variable.</w:t>
      </w:r>
      <w:r w:rsidR="00BF4730">
        <w:rPr>
          <w:rFonts w:ascii="Times New Roman" w:hAnsi="Times New Roman" w:cs="Times New Roman"/>
        </w:rPr>
        <w:t xml:space="preserve"> </w:t>
      </w:r>
      <w:r w:rsidRPr="00141203">
        <w:rPr>
          <w:rFonts w:ascii="Times New Roman" w:hAnsi="Times New Roman" w:cs="Times New Roman"/>
        </w:rPr>
        <w:t>To investigate whether sector can predict ESG score, we trialed several supervised learning models. We began with a Linear Regression model as a baseline. The model yielded a low R² value, indicating that sector alone explained only a small fraction of the variance in ESG scores.</w:t>
      </w:r>
      <w:r w:rsidR="00BF4730">
        <w:rPr>
          <w:rFonts w:ascii="Times New Roman" w:hAnsi="Times New Roman" w:cs="Times New Roman"/>
        </w:rPr>
        <w:t xml:space="preserve"> </w:t>
      </w:r>
      <w:r w:rsidRPr="00141203">
        <w:rPr>
          <w:rFonts w:ascii="Times New Roman" w:hAnsi="Times New Roman" w:cs="Times New Roman"/>
        </w:rPr>
        <w:t>We then applied Ridge Regression with Cross-Validation to improve upon the linear model and address potential multicollinearity among the one-hot encoded variables. While this approach provided better regularization, it still did not result in a high R² value, reinforcing the notion that sector may not be a strong standalone predictor of ESG score.</w:t>
      </w:r>
    </w:p>
    <w:p w14:paraId="04196B72" w14:textId="38B46AB7" w:rsidR="002A7824" w:rsidRPr="00141203" w:rsidRDefault="002A7824" w:rsidP="00141203">
      <w:pPr>
        <w:spacing w:line="360" w:lineRule="auto"/>
        <w:rPr>
          <w:rFonts w:ascii="Times New Roman" w:hAnsi="Times New Roman" w:cs="Times New Roman"/>
        </w:rPr>
      </w:pPr>
      <w:r w:rsidRPr="00141203">
        <w:rPr>
          <w:rFonts w:ascii="Times New Roman" w:hAnsi="Times New Roman" w:cs="Times New Roman"/>
        </w:rPr>
        <w:t xml:space="preserve">Next, we used a Random Forest Regressor, which allowed us to model non-linear relationships and capture more complex patterns in the data. This model performed better than the linear ones, </w:t>
      </w:r>
      <w:r w:rsidRPr="00141203">
        <w:rPr>
          <w:rFonts w:ascii="Times New Roman" w:hAnsi="Times New Roman" w:cs="Times New Roman"/>
        </w:rPr>
        <w:lastRenderedPageBreak/>
        <w:t>showing moderate predictive ability. We also examined the classification side of the question by training a Logistic Regression model to predict whether a company was in the high/severe ESG risk category. The model achieved reasonable accuracy but again showed that sector alone does not offer strong predictive power in distinguishing risk levels.</w:t>
      </w:r>
    </w:p>
    <w:p w14:paraId="1274441D" w14:textId="3655491C" w:rsidR="00F45009" w:rsidRPr="00141203" w:rsidRDefault="002A7824" w:rsidP="00141203">
      <w:pPr>
        <w:spacing w:line="360" w:lineRule="auto"/>
        <w:rPr>
          <w:rFonts w:ascii="Times New Roman" w:hAnsi="Times New Roman" w:cs="Times New Roman"/>
        </w:rPr>
      </w:pPr>
      <w:r w:rsidRPr="00141203">
        <w:rPr>
          <w:rFonts w:ascii="Times New Roman" w:hAnsi="Times New Roman" w:cs="Times New Roman"/>
        </w:rPr>
        <w:t xml:space="preserve">In summary, our analysis indicates that while sector appears to influence ESG scores to some extent—evident from the boxplot and descriptive statistics—it is not a strong predictor when used in isolation. </w:t>
      </w:r>
    </w:p>
    <w:p w14:paraId="6436F078" w14:textId="73DB70EE" w:rsidR="004D4034" w:rsidRPr="00141203" w:rsidRDefault="004D4034" w:rsidP="00141203">
      <w:pPr>
        <w:spacing w:line="360" w:lineRule="auto"/>
        <w:rPr>
          <w:rFonts w:ascii="Times New Roman" w:hAnsi="Times New Roman" w:cs="Times New Roman"/>
          <w:i/>
          <w:iCs/>
        </w:rPr>
      </w:pPr>
      <w:r w:rsidRPr="00141203">
        <w:rPr>
          <w:rFonts w:ascii="Times New Roman" w:hAnsi="Times New Roman" w:cs="Times New Roman"/>
          <w:i/>
          <w:iCs/>
        </w:rPr>
        <w:t>3.3 High vs. Low Market Cap Companies</w:t>
      </w:r>
    </w:p>
    <w:p w14:paraId="2AB421E8" w14:textId="3C5FFE9B" w:rsidR="004D4034" w:rsidRPr="00141203" w:rsidRDefault="004D4034" w:rsidP="00141203">
      <w:pPr>
        <w:spacing w:line="360" w:lineRule="auto"/>
        <w:rPr>
          <w:rFonts w:ascii="Times New Roman" w:hAnsi="Times New Roman" w:cs="Times New Roman"/>
        </w:rPr>
      </w:pPr>
      <w:r w:rsidRPr="00141203">
        <w:rPr>
          <w:rFonts w:ascii="Times New Roman" w:hAnsi="Times New Roman" w:cs="Times New Roman"/>
        </w:rPr>
        <w:t>For our third analysis question, we investigated whether there is a meaningful difference in ESG scores between the largest and smallest companies by market capitalization. Our hypothesis was that larger companies may have higher ESG scores due to more resources, public scrutiny, and regulatory oversight. To test this, we compared the top 50 and bottom 50 companies by market cap.</w:t>
      </w:r>
    </w:p>
    <w:p w14:paraId="63B41BD1" w14:textId="2B04B9FA" w:rsidR="004D4034" w:rsidRPr="00141203" w:rsidRDefault="00BF4730" w:rsidP="00141203">
      <w:pPr>
        <w:spacing w:line="360" w:lineRule="auto"/>
        <w:rPr>
          <w:rFonts w:ascii="Times New Roman" w:hAnsi="Times New Roman" w:cs="Times New Roman"/>
        </w:rPr>
      </w:pPr>
      <w:r w:rsidRPr="00141203">
        <w:rPr>
          <w:rFonts w:ascii="Times New Roman" w:hAnsi="Times New Roman" w:cs="Times New Roman"/>
          <w:noProof/>
        </w:rPr>
        <w:drawing>
          <wp:anchor distT="0" distB="0" distL="114300" distR="114300" simplePos="0" relativeHeight="251658244" behindDoc="0" locked="0" layoutInCell="1" allowOverlap="1" wp14:anchorId="7791D0F1" wp14:editId="10F195BC">
            <wp:simplePos x="0" y="0"/>
            <wp:positionH relativeFrom="column">
              <wp:posOffset>127000</wp:posOffset>
            </wp:positionH>
            <wp:positionV relativeFrom="paragraph">
              <wp:posOffset>2319020</wp:posOffset>
            </wp:positionV>
            <wp:extent cx="2832100" cy="1741170"/>
            <wp:effectExtent l="0" t="0" r="0" b="0"/>
            <wp:wrapTopAndBottom/>
            <wp:docPr id="2112240829" name="Picture 4" descr="A graph of blue bar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40829" name="Picture 4" descr="A graph of blue bars with white text&#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2100" cy="1741170"/>
                    </a:xfrm>
                    <a:prstGeom prst="rect">
                      <a:avLst/>
                    </a:prstGeom>
                  </pic:spPr>
                </pic:pic>
              </a:graphicData>
            </a:graphic>
            <wp14:sizeRelH relativeFrom="page">
              <wp14:pctWidth>0</wp14:pctWidth>
            </wp14:sizeRelH>
            <wp14:sizeRelV relativeFrom="page">
              <wp14:pctHeight>0</wp14:pctHeight>
            </wp14:sizeRelV>
          </wp:anchor>
        </w:drawing>
      </w:r>
      <w:r w:rsidRPr="00141203">
        <w:rPr>
          <w:rFonts w:ascii="Times New Roman" w:hAnsi="Times New Roman" w:cs="Times New Roman"/>
          <w:noProof/>
        </w:rPr>
        <w:drawing>
          <wp:anchor distT="0" distB="0" distL="114300" distR="114300" simplePos="0" relativeHeight="251658243" behindDoc="0" locked="0" layoutInCell="1" allowOverlap="1" wp14:anchorId="2E7E5F7C" wp14:editId="2A570CD7">
            <wp:simplePos x="0" y="0"/>
            <wp:positionH relativeFrom="column">
              <wp:posOffset>3365500</wp:posOffset>
            </wp:positionH>
            <wp:positionV relativeFrom="paragraph">
              <wp:posOffset>2361565</wp:posOffset>
            </wp:positionV>
            <wp:extent cx="2514600" cy="1698625"/>
            <wp:effectExtent l="0" t="0" r="0" b="3175"/>
            <wp:wrapTopAndBottom/>
            <wp:docPr id="288692343" name="Picture 5" descr="A graph of blue bar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692343" name="Picture 5" descr="A graph of blue bars with white text&#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14600" cy="1698625"/>
                    </a:xfrm>
                    <a:prstGeom prst="rect">
                      <a:avLst/>
                    </a:prstGeom>
                  </pic:spPr>
                </pic:pic>
              </a:graphicData>
            </a:graphic>
            <wp14:sizeRelH relativeFrom="page">
              <wp14:pctWidth>0</wp14:pctWidth>
            </wp14:sizeRelH>
            <wp14:sizeRelV relativeFrom="page">
              <wp14:pctHeight>0</wp14:pctHeight>
            </wp14:sizeRelV>
          </wp:anchor>
        </w:drawing>
      </w:r>
      <w:r w:rsidR="004D4034" w:rsidRPr="00141203">
        <w:rPr>
          <w:rFonts w:ascii="Times New Roman" w:hAnsi="Times New Roman" w:cs="Times New Roman"/>
        </w:rPr>
        <w:t xml:space="preserve">We began by removing any records with missing market cap values. We then created two subsets: </w:t>
      </w:r>
      <w:proofErr w:type="spellStart"/>
      <w:r w:rsidR="004D4034" w:rsidRPr="00141203">
        <w:rPr>
          <w:rFonts w:ascii="Times New Roman" w:hAnsi="Times New Roman" w:cs="Times New Roman"/>
        </w:rPr>
        <w:t>data_high_cap</w:t>
      </w:r>
      <w:proofErr w:type="spellEnd"/>
      <w:r w:rsidR="004D4034" w:rsidRPr="00141203">
        <w:rPr>
          <w:rFonts w:ascii="Times New Roman" w:hAnsi="Times New Roman" w:cs="Times New Roman"/>
        </w:rPr>
        <w:t xml:space="preserve"> for the top 50 companies and </w:t>
      </w:r>
      <w:proofErr w:type="spellStart"/>
      <w:r w:rsidR="004D4034" w:rsidRPr="00141203">
        <w:rPr>
          <w:rFonts w:ascii="Times New Roman" w:hAnsi="Times New Roman" w:cs="Times New Roman"/>
        </w:rPr>
        <w:t>data_low_cap</w:t>
      </w:r>
      <w:proofErr w:type="spellEnd"/>
      <w:r w:rsidR="004D4034" w:rsidRPr="00141203">
        <w:rPr>
          <w:rFonts w:ascii="Times New Roman" w:hAnsi="Times New Roman" w:cs="Times New Roman"/>
        </w:rPr>
        <w:t xml:space="preserve"> for the bottom 50. This allowed us to isolate two groups for direct comparison.</w:t>
      </w:r>
      <w:r w:rsidR="00A641EF" w:rsidRPr="00141203">
        <w:rPr>
          <w:rFonts w:ascii="Times New Roman" w:hAnsi="Times New Roman" w:cs="Times New Roman"/>
        </w:rPr>
        <w:t xml:space="preserve"> </w:t>
      </w:r>
      <w:r w:rsidR="004D4034" w:rsidRPr="00141203">
        <w:rPr>
          <w:rFonts w:ascii="Times New Roman" w:hAnsi="Times New Roman" w:cs="Times New Roman"/>
        </w:rPr>
        <w:t>Next, we visualized the sector distributions within each group to better understand</w:t>
      </w:r>
      <w:r w:rsidR="009240BD" w:rsidRPr="00141203">
        <w:rPr>
          <w:rFonts w:ascii="Times New Roman" w:hAnsi="Times New Roman" w:cs="Times New Roman"/>
        </w:rPr>
        <w:t xml:space="preserve"> what the top and bottom companies looked like</w:t>
      </w:r>
      <w:r w:rsidR="004D4034" w:rsidRPr="00141203">
        <w:rPr>
          <w:rFonts w:ascii="Times New Roman" w:hAnsi="Times New Roman" w:cs="Times New Roman"/>
        </w:rPr>
        <w:t>. We found that the top 50 companies were predominantly from the Technology sector, while the bottom 50 companies had a strong presence in the Industrials sector. These differences suggest that industry representation varies significantly across the market cap spectrum and may partially explain ESG score differences.</w:t>
      </w:r>
    </w:p>
    <w:p w14:paraId="33BDBF15" w14:textId="751112A2" w:rsidR="00B268D0" w:rsidRPr="00141203" w:rsidRDefault="00B268D0" w:rsidP="00141203">
      <w:pPr>
        <w:spacing w:line="360" w:lineRule="auto"/>
        <w:rPr>
          <w:rFonts w:ascii="Times New Roman" w:hAnsi="Times New Roman" w:cs="Times New Roman"/>
        </w:rPr>
      </w:pPr>
    </w:p>
    <w:p w14:paraId="36C24017" w14:textId="77777777" w:rsidR="00132406" w:rsidRDefault="00B268D0" w:rsidP="00132406">
      <w:pPr>
        <w:spacing w:line="360" w:lineRule="auto"/>
        <w:jc w:val="center"/>
        <w:rPr>
          <w:rFonts w:ascii="Times New Roman" w:hAnsi="Times New Roman" w:cs="Times New Roman"/>
          <w:noProof/>
        </w:rPr>
      </w:pPr>
      <w:r w:rsidRPr="00141203">
        <w:rPr>
          <w:rFonts w:ascii="Times New Roman" w:hAnsi="Times New Roman" w:cs="Times New Roman"/>
        </w:rPr>
        <w:lastRenderedPageBreak/>
        <w:t>Figure 6: Sector Composition for High vs. Low Market Cap Companies</w:t>
      </w:r>
    </w:p>
    <w:p w14:paraId="1549FAC8" w14:textId="322E56BC" w:rsidR="004D4034" w:rsidRPr="00141203" w:rsidRDefault="004F4965" w:rsidP="00132406">
      <w:pPr>
        <w:spacing w:line="360" w:lineRule="auto"/>
        <w:rPr>
          <w:rFonts w:ascii="Times New Roman" w:hAnsi="Times New Roman" w:cs="Times New Roman"/>
          <w:noProof/>
        </w:rPr>
      </w:pPr>
      <w:r w:rsidRPr="00141203">
        <w:rPr>
          <w:rFonts w:ascii="Times New Roman" w:hAnsi="Times New Roman" w:cs="Times New Roman"/>
          <w:noProof/>
        </w:rPr>
        <w:drawing>
          <wp:anchor distT="0" distB="0" distL="114300" distR="114300" simplePos="0" relativeHeight="251658245" behindDoc="0" locked="0" layoutInCell="1" allowOverlap="1" wp14:anchorId="0CEFF634" wp14:editId="223541B1">
            <wp:simplePos x="0" y="0"/>
            <wp:positionH relativeFrom="column">
              <wp:posOffset>889000</wp:posOffset>
            </wp:positionH>
            <wp:positionV relativeFrom="paragraph">
              <wp:posOffset>1787525</wp:posOffset>
            </wp:positionV>
            <wp:extent cx="4051300" cy="2944495"/>
            <wp:effectExtent l="0" t="0" r="0" b="1905"/>
            <wp:wrapTopAndBottom/>
            <wp:docPr id="1394379901" name="Picture 6" descr="A diagram of a group of blue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379901" name="Picture 6" descr="A diagram of a group of blue boxe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51300" cy="2944495"/>
                    </a:xfrm>
                    <a:prstGeom prst="rect">
                      <a:avLst/>
                    </a:prstGeom>
                  </pic:spPr>
                </pic:pic>
              </a:graphicData>
            </a:graphic>
            <wp14:sizeRelH relativeFrom="page">
              <wp14:pctWidth>0</wp14:pctWidth>
            </wp14:sizeRelH>
            <wp14:sizeRelV relativeFrom="page">
              <wp14:pctHeight>0</wp14:pctHeight>
            </wp14:sizeRelV>
          </wp:anchor>
        </w:drawing>
      </w:r>
      <w:r w:rsidR="004D4034" w:rsidRPr="00141203">
        <w:rPr>
          <w:rFonts w:ascii="Times New Roman" w:hAnsi="Times New Roman" w:cs="Times New Roman"/>
        </w:rPr>
        <w:t>To evaluate how ESG scores differ between the two groups, we performed bivariate visualizations using boxplots and calculated summary statistics. Specifically, we compared the mean and median ESG scores of high-</w:t>
      </w:r>
      <w:proofErr w:type="gramStart"/>
      <w:r w:rsidR="004D4034" w:rsidRPr="00141203">
        <w:rPr>
          <w:rFonts w:ascii="Times New Roman" w:hAnsi="Times New Roman" w:cs="Times New Roman"/>
        </w:rPr>
        <w:t>cap</w:t>
      </w:r>
      <w:proofErr w:type="gramEnd"/>
      <w:r w:rsidR="004D4034" w:rsidRPr="00141203">
        <w:rPr>
          <w:rFonts w:ascii="Times New Roman" w:hAnsi="Times New Roman" w:cs="Times New Roman"/>
        </w:rPr>
        <w:t xml:space="preserve"> and low-cap companies.</w:t>
      </w:r>
      <w:r w:rsidR="00817EF9" w:rsidRPr="00141203">
        <w:rPr>
          <w:rFonts w:ascii="Times New Roman" w:hAnsi="Times New Roman" w:cs="Times New Roman"/>
        </w:rPr>
        <w:t xml:space="preserve"> </w:t>
      </w:r>
      <w:r w:rsidR="004D4034" w:rsidRPr="00141203">
        <w:rPr>
          <w:rFonts w:ascii="Times New Roman" w:hAnsi="Times New Roman" w:cs="Times New Roman"/>
        </w:rPr>
        <w:t xml:space="preserve">Contrary to expectations, we discovered that the larger companies </w:t>
      </w:r>
      <w:proofErr w:type="gramStart"/>
      <w:r w:rsidR="004D4034" w:rsidRPr="00141203">
        <w:rPr>
          <w:rFonts w:ascii="Times New Roman" w:hAnsi="Times New Roman" w:cs="Times New Roman"/>
        </w:rPr>
        <w:t>actually had</w:t>
      </w:r>
      <w:proofErr w:type="gramEnd"/>
      <w:r w:rsidR="004D4034" w:rsidRPr="00141203">
        <w:rPr>
          <w:rFonts w:ascii="Times New Roman" w:hAnsi="Times New Roman" w:cs="Times New Roman"/>
        </w:rPr>
        <w:t xml:space="preserve"> lower ESG scores on average than their smaller counterparts. This finding was surprising, as it contradicts the assumption that larger firms—often more visible and resourced—would score better on environmental and social governance criteria.</w:t>
      </w:r>
    </w:p>
    <w:p w14:paraId="373F5E98" w14:textId="5D982C50" w:rsidR="003000D6" w:rsidRPr="00141203" w:rsidRDefault="006F5229" w:rsidP="00BF4730">
      <w:pPr>
        <w:spacing w:line="360" w:lineRule="auto"/>
        <w:jc w:val="center"/>
        <w:rPr>
          <w:rFonts w:ascii="Times New Roman" w:hAnsi="Times New Roman" w:cs="Times New Roman"/>
        </w:rPr>
      </w:pPr>
      <w:r w:rsidRPr="00141203">
        <w:rPr>
          <w:rFonts w:ascii="Times New Roman" w:hAnsi="Times New Roman" w:cs="Times New Roman"/>
        </w:rPr>
        <w:t>Figure</w:t>
      </w:r>
      <w:r w:rsidR="00863144" w:rsidRPr="00141203">
        <w:rPr>
          <w:rFonts w:ascii="Times New Roman" w:hAnsi="Times New Roman" w:cs="Times New Roman"/>
        </w:rPr>
        <w:t xml:space="preserve"> </w:t>
      </w:r>
      <w:r w:rsidR="00FF1601" w:rsidRPr="00141203">
        <w:rPr>
          <w:rFonts w:ascii="Times New Roman" w:hAnsi="Times New Roman" w:cs="Times New Roman"/>
        </w:rPr>
        <w:t>7</w:t>
      </w:r>
      <w:r w:rsidR="004F4965" w:rsidRPr="00141203">
        <w:rPr>
          <w:rFonts w:ascii="Times New Roman" w:hAnsi="Times New Roman" w:cs="Times New Roman"/>
        </w:rPr>
        <w:t xml:space="preserve">. </w:t>
      </w:r>
      <w:r w:rsidR="002D5B35" w:rsidRPr="00141203">
        <w:rPr>
          <w:rFonts w:ascii="Times New Roman" w:hAnsi="Times New Roman" w:cs="Times New Roman"/>
        </w:rPr>
        <w:t xml:space="preserve">Mean and Median </w:t>
      </w:r>
      <w:r w:rsidR="00555027" w:rsidRPr="00141203">
        <w:rPr>
          <w:rFonts w:ascii="Times New Roman" w:hAnsi="Times New Roman" w:cs="Times New Roman"/>
        </w:rPr>
        <w:t>of High vs Low Cap</w:t>
      </w:r>
    </w:p>
    <w:p w14:paraId="2C56D248" w14:textId="314701F2" w:rsidR="004D4034" w:rsidRPr="00141203" w:rsidRDefault="004D4034" w:rsidP="00141203">
      <w:pPr>
        <w:spacing w:line="360" w:lineRule="auto"/>
        <w:rPr>
          <w:rFonts w:ascii="Times New Roman" w:hAnsi="Times New Roman" w:cs="Times New Roman"/>
        </w:rPr>
      </w:pPr>
      <w:r w:rsidRPr="00141203">
        <w:rPr>
          <w:rFonts w:ascii="Times New Roman" w:hAnsi="Times New Roman" w:cs="Times New Roman"/>
        </w:rPr>
        <w:t>Our findings suggest that smaller firms may be outperforming large-cap companies in ESG performance, or alternatively, that ESG risk may be more nuanced and not directly tied to company size.</w:t>
      </w:r>
    </w:p>
    <w:p w14:paraId="19CDD26D" w14:textId="77777777" w:rsidR="004D4034" w:rsidRPr="00141203" w:rsidRDefault="004D4034" w:rsidP="00141203">
      <w:pPr>
        <w:spacing w:line="360" w:lineRule="auto"/>
        <w:rPr>
          <w:rFonts w:ascii="Times New Roman" w:hAnsi="Times New Roman" w:cs="Times New Roman"/>
        </w:rPr>
      </w:pPr>
      <w:r w:rsidRPr="00141203">
        <w:rPr>
          <w:rFonts w:ascii="Times New Roman" w:hAnsi="Times New Roman" w:cs="Times New Roman"/>
        </w:rPr>
        <w:t>In conclusion, our analysis found a reverse relationship between market capitalization and ESG score: larger companies tended to have lower ESG scores than smaller ones. This insight challenges the assumption that size correlates with sustainability performance, and it highlights the importance of sector and individual company practices when evaluating ESG risk.</w:t>
      </w:r>
    </w:p>
    <w:p w14:paraId="639EB661" w14:textId="11310A32" w:rsidR="00F45009" w:rsidRPr="00141203" w:rsidRDefault="004D4034" w:rsidP="00141203">
      <w:pPr>
        <w:spacing w:line="360" w:lineRule="auto"/>
        <w:rPr>
          <w:rFonts w:ascii="Times New Roman" w:hAnsi="Times New Roman" w:cs="Times New Roman"/>
        </w:rPr>
      </w:pPr>
      <w:r w:rsidRPr="00141203">
        <w:rPr>
          <w:rFonts w:ascii="Times New Roman" w:hAnsi="Times New Roman" w:cs="Times New Roman"/>
        </w:rPr>
        <w:t>Future analysis could incorporate other financial indicators or control for sector to further isolate the drivers of ESG performance across firms of different sizes.</w:t>
      </w:r>
    </w:p>
    <w:p w14:paraId="381C2DBB" w14:textId="451C06E7" w:rsidR="00B76439" w:rsidRPr="00141203" w:rsidRDefault="00B76439" w:rsidP="00141203">
      <w:pPr>
        <w:pStyle w:val="ListParagraph"/>
        <w:numPr>
          <w:ilvl w:val="0"/>
          <w:numId w:val="8"/>
        </w:numPr>
        <w:spacing w:line="360" w:lineRule="auto"/>
        <w:rPr>
          <w:rFonts w:ascii="Times New Roman" w:hAnsi="Times New Roman" w:cs="Times New Roman"/>
          <w:b/>
          <w:bCs/>
        </w:rPr>
      </w:pPr>
      <w:r w:rsidRPr="00141203">
        <w:rPr>
          <w:rFonts w:ascii="Times New Roman" w:hAnsi="Times New Roman" w:cs="Times New Roman"/>
          <w:b/>
          <w:bCs/>
        </w:rPr>
        <w:lastRenderedPageBreak/>
        <w:t>Conclusion</w:t>
      </w:r>
    </w:p>
    <w:p w14:paraId="203F6F6A" w14:textId="77777777" w:rsidR="00342947" w:rsidRPr="00141203" w:rsidRDefault="00342947" w:rsidP="00141203">
      <w:pPr>
        <w:spacing w:line="360" w:lineRule="auto"/>
        <w:rPr>
          <w:rFonts w:ascii="Times New Roman" w:hAnsi="Times New Roman" w:cs="Times New Roman"/>
        </w:rPr>
      </w:pPr>
      <w:r w:rsidRPr="00141203">
        <w:rPr>
          <w:rFonts w:ascii="Times New Roman" w:hAnsi="Times New Roman" w:cs="Times New Roman"/>
        </w:rPr>
        <w:t>In this project, we examined how company financial performance and sector relate to ESG (Environmental, Social, and Governance) ratings. Our goal was to explore whether financial metrics or industry characteristics could meaningfully predict ESG outcomes. We found the following:</w:t>
      </w:r>
    </w:p>
    <w:p w14:paraId="3CA1FD4A" w14:textId="77777777" w:rsidR="00342947" w:rsidRPr="00141203" w:rsidRDefault="00342947" w:rsidP="00141203">
      <w:pPr>
        <w:numPr>
          <w:ilvl w:val="0"/>
          <w:numId w:val="7"/>
        </w:numPr>
        <w:spacing w:line="360" w:lineRule="auto"/>
        <w:rPr>
          <w:rFonts w:ascii="Times New Roman" w:hAnsi="Times New Roman" w:cs="Times New Roman"/>
        </w:rPr>
      </w:pPr>
      <w:r w:rsidRPr="00141203">
        <w:rPr>
          <w:rFonts w:ascii="Times New Roman" w:hAnsi="Times New Roman" w:cs="Times New Roman"/>
        </w:rPr>
        <w:t>Does financial performance predict ESG score?</w:t>
      </w:r>
      <w:r w:rsidRPr="00141203">
        <w:rPr>
          <w:rFonts w:ascii="Times New Roman" w:hAnsi="Times New Roman" w:cs="Times New Roman"/>
        </w:rPr>
        <w:br/>
        <w:t>We found weak predictive power between financial metrics (like revenue, EBITDA, and P/E ratio) and ESG scores. A Support Vector Machine model performed best with an AUC of 0.88 on a trimmed dataset, suggesting outliers distorted other models. Still, financial data alone was not a strong predictor of ESG risk.</w:t>
      </w:r>
    </w:p>
    <w:p w14:paraId="2D7EDA2C" w14:textId="77777777" w:rsidR="00342947" w:rsidRPr="00141203" w:rsidRDefault="00342947" w:rsidP="00141203">
      <w:pPr>
        <w:numPr>
          <w:ilvl w:val="0"/>
          <w:numId w:val="7"/>
        </w:numPr>
        <w:spacing w:line="360" w:lineRule="auto"/>
        <w:rPr>
          <w:rFonts w:ascii="Times New Roman" w:hAnsi="Times New Roman" w:cs="Times New Roman"/>
        </w:rPr>
      </w:pPr>
      <w:r w:rsidRPr="00141203">
        <w:rPr>
          <w:rFonts w:ascii="Times New Roman" w:hAnsi="Times New Roman" w:cs="Times New Roman"/>
        </w:rPr>
        <w:t>Does sector influence ESG scores?</w:t>
      </w:r>
      <w:r w:rsidRPr="00141203">
        <w:rPr>
          <w:rFonts w:ascii="Times New Roman" w:hAnsi="Times New Roman" w:cs="Times New Roman"/>
        </w:rPr>
        <w:br/>
        <w:t>Sector-based visualizations showed clear differences in ESG score distributions. However, regression and classification models using sector alone produced low R² and accuracy scores, indicating that while sector matters, it’s not a strong standalone predictor.</w:t>
      </w:r>
    </w:p>
    <w:p w14:paraId="7BD007B5" w14:textId="4710FD07" w:rsidR="00342947" w:rsidRPr="00141203" w:rsidRDefault="00342947" w:rsidP="00141203">
      <w:pPr>
        <w:numPr>
          <w:ilvl w:val="0"/>
          <w:numId w:val="7"/>
        </w:numPr>
        <w:spacing w:line="360" w:lineRule="auto"/>
        <w:rPr>
          <w:rFonts w:ascii="Times New Roman" w:hAnsi="Times New Roman" w:cs="Times New Roman"/>
        </w:rPr>
      </w:pPr>
      <w:r w:rsidRPr="00141203">
        <w:rPr>
          <w:rFonts w:ascii="Times New Roman" w:hAnsi="Times New Roman" w:cs="Times New Roman"/>
        </w:rPr>
        <w:t>Do ESG scores differ between high and low market cap companies?</w:t>
      </w:r>
      <w:r w:rsidRPr="00141203">
        <w:rPr>
          <w:rFonts w:ascii="Times New Roman" w:hAnsi="Times New Roman" w:cs="Times New Roman"/>
        </w:rPr>
        <w:br/>
        <w:t>Surprisingly, we found that smaller companies had slightly higher ESG scores than larger ones. Sector composition differences between the two groups may explain this, but the result challenges the assumption that bigger companies are more sustainable.</w:t>
      </w:r>
    </w:p>
    <w:p w14:paraId="6E0AAFEC" w14:textId="7B80F3DE" w:rsidR="00AC3F2F" w:rsidRPr="00141203" w:rsidRDefault="00AC3F2F" w:rsidP="00141203">
      <w:pPr>
        <w:spacing w:before="100" w:beforeAutospacing="1" w:after="100" w:afterAutospacing="1" w:line="360" w:lineRule="auto"/>
        <w:ind w:left="360"/>
        <w:rPr>
          <w:rFonts w:ascii="Times New Roman" w:eastAsia="Times New Roman" w:hAnsi="Times New Roman" w:cs="Times New Roman"/>
          <w:kern w:val="0"/>
          <w14:ligatures w14:val="none"/>
        </w:rPr>
      </w:pPr>
      <w:r w:rsidRPr="00141203">
        <w:rPr>
          <w:rFonts w:ascii="Times New Roman" w:eastAsia="Times New Roman" w:hAnsi="Times New Roman" w:cs="Times New Roman"/>
          <w:kern w:val="0"/>
          <w14:ligatures w14:val="none"/>
        </w:rPr>
        <w:t>This project was limited by missing data, inconsistencies in merging company names, and the simplified nature of ESG ratings. Additionally, since our dataset focused primarily on S&amp;P 500 companies—many of which are large, well-established firms—the lack of variance in financial scale may have limited our ability to detect strong relationships between financial features and ESG scores. It’s possible that once companies reach a certain size, financial metrics have diminishing predictive power on ESG performance. Larger firms may also have more resources to invest in sustainability initiatives, making ESG outcomes more a matter of strategic choice than financial constraint. Future work could expand to include smaller-cap companies to better capture these dynamics.</w:t>
      </w:r>
    </w:p>
    <w:p w14:paraId="627C4A19" w14:textId="21BF7490" w:rsidR="00012205" w:rsidRPr="003D44B7" w:rsidRDefault="00012205" w:rsidP="00632CA5">
      <w:pPr>
        <w:pStyle w:val="ListParagraph"/>
        <w:ind w:left="1440"/>
        <w:rPr>
          <w:rFonts w:asciiTheme="majorBidi" w:hAnsiTheme="majorBidi" w:cstheme="majorBidi"/>
        </w:rPr>
      </w:pPr>
    </w:p>
    <w:p w14:paraId="76F33D76" w14:textId="77777777" w:rsidR="00B76439" w:rsidRPr="00B76439" w:rsidRDefault="00B76439" w:rsidP="00012205">
      <w:pPr>
        <w:rPr>
          <w:rFonts w:asciiTheme="majorBidi" w:hAnsiTheme="majorBidi" w:cstheme="majorBidi"/>
          <w:b/>
          <w:bCs/>
        </w:rPr>
      </w:pPr>
    </w:p>
    <w:sectPr w:rsidR="00B76439" w:rsidRPr="00B764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020315" w14:textId="77777777" w:rsidR="00B0608B" w:rsidRDefault="00B0608B" w:rsidP="00860195">
      <w:pPr>
        <w:spacing w:after="0" w:line="240" w:lineRule="auto"/>
      </w:pPr>
      <w:r>
        <w:separator/>
      </w:r>
    </w:p>
  </w:endnote>
  <w:endnote w:type="continuationSeparator" w:id="0">
    <w:p w14:paraId="3B944DCC" w14:textId="77777777" w:rsidR="00B0608B" w:rsidRDefault="00B0608B" w:rsidP="00860195">
      <w:pPr>
        <w:spacing w:after="0" w:line="240" w:lineRule="auto"/>
      </w:pPr>
      <w:r>
        <w:continuationSeparator/>
      </w:r>
    </w:p>
  </w:endnote>
  <w:endnote w:type="continuationNotice" w:id="1">
    <w:p w14:paraId="213CC5CF" w14:textId="77777777" w:rsidR="00B0608B" w:rsidRDefault="00B060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C6B69F" w14:textId="77777777" w:rsidR="00B0608B" w:rsidRDefault="00B0608B" w:rsidP="00860195">
      <w:pPr>
        <w:spacing w:after="0" w:line="240" w:lineRule="auto"/>
      </w:pPr>
      <w:r>
        <w:separator/>
      </w:r>
    </w:p>
  </w:footnote>
  <w:footnote w:type="continuationSeparator" w:id="0">
    <w:p w14:paraId="584F00C1" w14:textId="77777777" w:rsidR="00B0608B" w:rsidRDefault="00B0608B" w:rsidP="00860195">
      <w:pPr>
        <w:spacing w:after="0" w:line="240" w:lineRule="auto"/>
      </w:pPr>
      <w:r>
        <w:continuationSeparator/>
      </w:r>
    </w:p>
  </w:footnote>
  <w:footnote w:type="continuationNotice" w:id="1">
    <w:p w14:paraId="5549D752" w14:textId="77777777" w:rsidR="00B0608B" w:rsidRDefault="00B0608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17FBD"/>
    <w:multiLevelType w:val="hybridMultilevel"/>
    <w:tmpl w:val="639E42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3114B"/>
    <w:multiLevelType w:val="multilevel"/>
    <w:tmpl w:val="3E105BB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A1A3DB1"/>
    <w:multiLevelType w:val="multilevel"/>
    <w:tmpl w:val="DB2A7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5F6990"/>
    <w:multiLevelType w:val="multilevel"/>
    <w:tmpl w:val="339E84A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EAA25AD"/>
    <w:multiLevelType w:val="hybridMultilevel"/>
    <w:tmpl w:val="ACB63DD0"/>
    <w:lvl w:ilvl="0" w:tplc="10F6F34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F6353"/>
    <w:multiLevelType w:val="multilevel"/>
    <w:tmpl w:val="5F50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824871"/>
    <w:multiLevelType w:val="multilevel"/>
    <w:tmpl w:val="A5BE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C1B70"/>
    <w:multiLevelType w:val="hybridMultilevel"/>
    <w:tmpl w:val="E1E8452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AD1444"/>
    <w:multiLevelType w:val="hybridMultilevel"/>
    <w:tmpl w:val="1A9AFCC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B5782F"/>
    <w:multiLevelType w:val="multilevel"/>
    <w:tmpl w:val="DC2E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C81DD7"/>
    <w:multiLevelType w:val="multilevel"/>
    <w:tmpl w:val="030A02E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98F2B3B"/>
    <w:multiLevelType w:val="multilevel"/>
    <w:tmpl w:val="5CDCF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8332367">
    <w:abstractNumId w:val="3"/>
  </w:num>
  <w:num w:numId="2" w16cid:durableId="675112853">
    <w:abstractNumId w:val="4"/>
  </w:num>
  <w:num w:numId="3" w16cid:durableId="35400930">
    <w:abstractNumId w:val="9"/>
  </w:num>
  <w:num w:numId="4" w16cid:durableId="315769620">
    <w:abstractNumId w:val="6"/>
  </w:num>
  <w:num w:numId="5" w16cid:durableId="968320516">
    <w:abstractNumId w:val="5"/>
  </w:num>
  <w:num w:numId="6" w16cid:durableId="2036956553">
    <w:abstractNumId w:val="0"/>
  </w:num>
  <w:num w:numId="7" w16cid:durableId="1208102622">
    <w:abstractNumId w:val="11"/>
  </w:num>
  <w:num w:numId="8" w16cid:durableId="1175925302">
    <w:abstractNumId w:val="2"/>
  </w:num>
  <w:num w:numId="9" w16cid:durableId="1790195735">
    <w:abstractNumId w:val="8"/>
  </w:num>
  <w:num w:numId="10" w16cid:durableId="978342820">
    <w:abstractNumId w:val="1"/>
  </w:num>
  <w:num w:numId="11" w16cid:durableId="1673340952">
    <w:abstractNumId w:val="10"/>
  </w:num>
  <w:num w:numId="12" w16cid:durableId="20785070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130"/>
    <w:rsid w:val="00000428"/>
    <w:rsid w:val="000109A8"/>
    <w:rsid w:val="000109EF"/>
    <w:rsid w:val="00012205"/>
    <w:rsid w:val="00013E8A"/>
    <w:rsid w:val="00014EB3"/>
    <w:rsid w:val="00016114"/>
    <w:rsid w:val="00020C13"/>
    <w:rsid w:val="000222E3"/>
    <w:rsid w:val="00025A04"/>
    <w:rsid w:val="00031FF1"/>
    <w:rsid w:val="00035803"/>
    <w:rsid w:val="00036BE7"/>
    <w:rsid w:val="0003791E"/>
    <w:rsid w:val="0004262D"/>
    <w:rsid w:val="00043130"/>
    <w:rsid w:val="00045958"/>
    <w:rsid w:val="00045FEA"/>
    <w:rsid w:val="00047F0A"/>
    <w:rsid w:val="00051817"/>
    <w:rsid w:val="000519E4"/>
    <w:rsid w:val="000537DB"/>
    <w:rsid w:val="00054E7F"/>
    <w:rsid w:val="000610BF"/>
    <w:rsid w:val="00061604"/>
    <w:rsid w:val="00064301"/>
    <w:rsid w:val="00065912"/>
    <w:rsid w:val="00066330"/>
    <w:rsid w:val="00074134"/>
    <w:rsid w:val="0007466F"/>
    <w:rsid w:val="00074B33"/>
    <w:rsid w:val="000766BB"/>
    <w:rsid w:val="000766FE"/>
    <w:rsid w:val="00091835"/>
    <w:rsid w:val="00092339"/>
    <w:rsid w:val="0009287A"/>
    <w:rsid w:val="00095D80"/>
    <w:rsid w:val="0009604B"/>
    <w:rsid w:val="000A1008"/>
    <w:rsid w:val="000A31FF"/>
    <w:rsid w:val="000B2D42"/>
    <w:rsid w:val="000C38A8"/>
    <w:rsid w:val="000C62E2"/>
    <w:rsid w:val="000C7080"/>
    <w:rsid w:val="000C78D3"/>
    <w:rsid w:val="000C7ADA"/>
    <w:rsid w:val="000E2124"/>
    <w:rsid w:val="000E355A"/>
    <w:rsid w:val="000E3D69"/>
    <w:rsid w:val="000E4163"/>
    <w:rsid w:val="000E4232"/>
    <w:rsid w:val="000E5E82"/>
    <w:rsid w:val="000F1004"/>
    <w:rsid w:val="000F35C5"/>
    <w:rsid w:val="000F5574"/>
    <w:rsid w:val="000F69C3"/>
    <w:rsid w:val="001000E0"/>
    <w:rsid w:val="00102E34"/>
    <w:rsid w:val="00105129"/>
    <w:rsid w:val="0010577F"/>
    <w:rsid w:val="00105E4B"/>
    <w:rsid w:val="00106475"/>
    <w:rsid w:val="00110821"/>
    <w:rsid w:val="00110E05"/>
    <w:rsid w:val="0011168F"/>
    <w:rsid w:val="00111F5E"/>
    <w:rsid w:val="00114067"/>
    <w:rsid w:val="001151A0"/>
    <w:rsid w:val="00116A1A"/>
    <w:rsid w:val="00117E57"/>
    <w:rsid w:val="0012317C"/>
    <w:rsid w:val="00126B22"/>
    <w:rsid w:val="00126D87"/>
    <w:rsid w:val="00130D94"/>
    <w:rsid w:val="00131619"/>
    <w:rsid w:val="00132406"/>
    <w:rsid w:val="00133AD7"/>
    <w:rsid w:val="001345C4"/>
    <w:rsid w:val="00140B4A"/>
    <w:rsid w:val="00141203"/>
    <w:rsid w:val="00143433"/>
    <w:rsid w:val="00144752"/>
    <w:rsid w:val="00144BAD"/>
    <w:rsid w:val="00145235"/>
    <w:rsid w:val="0014641C"/>
    <w:rsid w:val="001466A7"/>
    <w:rsid w:val="00147244"/>
    <w:rsid w:val="001518FE"/>
    <w:rsid w:val="00151CC9"/>
    <w:rsid w:val="00151CE8"/>
    <w:rsid w:val="001557D9"/>
    <w:rsid w:val="00156F7D"/>
    <w:rsid w:val="001654AD"/>
    <w:rsid w:val="00177A57"/>
    <w:rsid w:val="00180CBB"/>
    <w:rsid w:val="0018244A"/>
    <w:rsid w:val="00186625"/>
    <w:rsid w:val="001903F1"/>
    <w:rsid w:val="00190E97"/>
    <w:rsid w:val="001917CA"/>
    <w:rsid w:val="001A6D3F"/>
    <w:rsid w:val="001A6E9C"/>
    <w:rsid w:val="001A7C85"/>
    <w:rsid w:val="001B3280"/>
    <w:rsid w:val="001B3DA7"/>
    <w:rsid w:val="001B6B67"/>
    <w:rsid w:val="001B6D86"/>
    <w:rsid w:val="001B73E1"/>
    <w:rsid w:val="001C2F64"/>
    <w:rsid w:val="001C327B"/>
    <w:rsid w:val="001C6798"/>
    <w:rsid w:val="001D09BF"/>
    <w:rsid w:val="001D14FF"/>
    <w:rsid w:val="001D414C"/>
    <w:rsid w:val="001D4368"/>
    <w:rsid w:val="001D6AAA"/>
    <w:rsid w:val="001E1B2E"/>
    <w:rsid w:val="001E2D56"/>
    <w:rsid w:val="001E3296"/>
    <w:rsid w:val="001E5265"/>
    <w:rsid w:val="001E777C"/>
    <w:rsid w:val="001F18C5"/>
    <w:rsid w:val="001F1A6E"/>
    <w:rsid w:val="001F2792"/>
    <w:rsid w:val="001F4A5C"/>
    <w:rsid w:val="001F4BBA"/>
    <w:rsid w:val="001F5DC7"/>
    <w:rsid w:val="001F6947"/>
    <w:rsid w:val="00203AA3"/>
    <w:rsid w:val="002046EB"/>
    <w:rsid w:val="0020639A"/>
    <w:rsid w:val="00206570"/>
    <w:rsid w:val="00207602"/>
    <w:rsid w:val="00223742"/>
    <w:rsid w:val="002311BB"/>
    <w:rsid w:val="002317A2"/>
    <w:rsid w:val="00233322"/>
    <w:rsid w:val="0023423D"/>
    <w:rsid w:val="002351FD"/>
    <w:rsid w:val="00235FDA"/>
    <w:rsid w:val="00236FE7"/>
    <w:rsid w:val="002462AE"/>
    <w:rsid w:val="00246B34"/>
    <w:rsid w:val="002503B4"/>
    <w:rsid w:val="0025785B"/>
    <w:rsid w:val="0026426F"/>
    <w:rsid w:val="002670EF"/>
    <w:rsid w:val="00272AA9"/>
    <w:rsid w:val="002808D3"/>
    <w:rsid w:val="00281535"/>
    <w:rsid w:val="002862FC"/>
    <w:rsid w:val="0028733A"/>
    <w:rsid w:val="002934A3"/>
    <w:rsid w:val="002952BF"/>
    <w:rsid w:val="00296A31"/>
    <w:rsid w:val="00296F09"/>
    <w:rsid w:val="002A2612"/>
    <w:rsid w:val="002A48BA"/>
    <w:rsid w:val="002A53D1"/>
    <w:rsid w:val="002A6B10"/>
    <w:rsid w:val="002A7824"/>
    <w:rsid w:val="002B1C9E"/>
    <w:rsid w:val="002B2A93"/>
    <w:rsid w:val="002B554F"/>
    <w:rsid w:val="002B674F"/>
    <w:rsid w:val="002B75A6"/>
    <w:rsid w:val="002B79FE"/>
    <w:rsid w:val="002C0A84"/>
    <w:rsid w:val="002C47A7"/>
    <w:rsid w:val="002C4EE7"/>
    <w:rsid w:val="002C55DA"/>
    <w:rsid w:val="002C5FEE"/>
    <w:rsid w:val="002C6464"/>
    <w:rsid w:val="002D2700"/>
    <w:rsid w:val="002D44CF"/>
    <w:rsid w:val="002D44F7"/>
    <w:rsid w:val="002D5B35"/>
    <w:rsid w:val="002D71FC"/>
    <w:rsid w:val="002D7861"/>
    <w:rsid w:val="002E2A4D"/>
    <w:rsid w:val="002E3A21"/>
    <w:rsid w:val="002E4E6C"/>
    <w:rsid w:val="002F029A"/>
    <w:rsid w:val="002F1EE4"/>
    <w:rsid w:val="003000D6"/>
    <w:rsid w:val="00301113"/>
    <w:rsid w:val="00303324"/>
    <w:rsid w:val="0030565E"/>
    <w:rsid w:val="003121AA"/>
    <w:rsid w:val="00321BC8"/>
    <w:rsid w:val="00322223"/>
    <w:rsid w:val="0032232A"/>
    <w:rsid w:val="00323F77"/>
    <w:rsid w:val="0033263C"/>
    <w:rsid w:val="003336B7"/>
    <w:rsid w:val="003354EC"/>
    <w:rsid w:val="00336F28"/>
    <w:rsid w:val="00337578"/>
    <w:rsid w:val="00340AFD"/>
    <w:rsid w:val="003416F7"/>
    <w:rsid w:val="00342947"/>
    <w:rsid w:val="00344F94"/>
    <w:rsid w:val="003549DB"/>
    <w:rsid w:val="003566A4"/>
    <w:rsid w:val="0036059F"/>
    <w:rsid w:val="00362DDF"/>
    <w:rsid w:val="00365456"/>
    <w:rsid w:val="003658F8"/>
    <w:rsid w:val="00372CAE"/>
    <w:rsid w:val="00374008"/>
    <w:rsid w:val="00380A0C"/>
    <w:rsid w:val="00380AF7"/>
    <w:rsid w:val="00380F20"/>
    <w:rsid w:val="003903A8"/>
    <w:rsid w:val="00390E31"/>
    <w:rsid w:val="00396339"/>
    <w:rsid w:val="00396630"/>
    <w:rsid w:val="00396642"/>
    <w:rsid w:val="003A33EE"/>
    <w:rsid w:val="003A4055"/>
    <w:rsid w:val="003A4DB8"/>
    <w:rsid w:val="003A5119"/>
    <w:rsid w:val="003A608C"/>
    <w:rsid w:val="003A6390"/>
    <w:rsid w:val="003B011D"/>
    <w:rsid w:val="003B1DCD"/>
    <w:rsid w:val="003B3588"/>
    <w:rsid w:val="003B3D99"/>
    <w:rsid w:val="003B4AC8"/>
    <w:rsid w:val="003B5507"/>
    <w:rsid w:val="003B6E87"/>
    <w:rsid w:val="003C17FF"/>
    <w:rsid w:val="003C4C0D"/>
    <w:rsid w:val="003C5359"/>
    <w:rsid w:val="003C5C27"/>
    <w:rsid w:val="003C639A"/>
    <w:rsid w:val="003C7092"/>
    <w:rsid w:val="003C7550"/>
    <w:rsid w:val="003D20AE"/>
    <w:rsid w:val="003D44B7"/>
    <w:rsid w:val="003D4E41"/>
    <w:rsid w:val="003D5B0D"/>
    <w:rsid w:val="003D7940"/>
    <w:rsid w:val="003E0725"/>
    <w:rsid w:val="003E0893"/>
    <w:rsid w:val="003E500B"/>
    <w:rsid w:val="003F047D"/>
    <w:rsid w:val="003F08C5"/>
    <w:rsid w:val="003F1D10"/>
    <w:rsid w:val="003F214B"/>
    <w:rsid w:val="003F2E7E"/>
    <w:rsid w:val="0040093A"/>
    <w:rsid w:val="00403B1E"/>
    <w:rsid w:val="00404169"/>
    <w:rsid w:val="004112F0"/>
    <w:rsid w:val="0041366A"/>
    <w:rsid w:val="0041376F"/>
    <w:rsid w:val="00414213"/>
    <w:rsid w:val="00415303"/>
    <w:rsid w:val="00417136"/>
    <w:rsid w:val="00417D10"/>
    <w:rsid w:val="00420C90"/>
    <w:rsid w:val="00421A9B"/>
    <w:rsid w:val="004268AA"/>
    <w:rsid w:val="00435F71"/>
    <w:rsid w:val="00440735"/>
    <w:rsid w:val="00445070"/>
    <w:rsid w:val="004522C8"/>
    <w:rsid w:val="00455598"/>
    <w:rsid w:val="004567EF"/>
    <w:rsid w:val="0046000B"/>
    <w:rsid w:val="00460A40"/>
    <w:rsid w:val="00462830"/>
    <w:rsid w:val="00464C9C"/>
    <w:rsid w:val="0047008D"/>
    <w:rsid w:val="00471A5A"/>
    <w:rsid w:val="00474B14"/>
    <w:rsid w:val="00475242"/>
    <w:rsid w:val="00475D23"/>
    <w:rsid w:val="00477734"/>
    <w:rsid w:val="0048243E"/>
    <w:rsid w:val="00482DEF"/>
    <w:rsid w:val="00485CEE"/>
    <w:rsid w:val="00487F62"/>
    <w:rsid w:val="00495E1C"/>
    <w:rsid w:val="004A1593"/>
    <w:rsid w:val="004A3933"/>
    <w:rsid w:val="004A3B87"/>
    <w:rsid w:val="004A67F2"/>
    <w:rsid w:val="004B0D07"/>
    <w:rsid w:val="004B17D1"/>
    <w:rsid w:val="004B4B1B"/>
    <w:rsid w:val="004B534F"/>
    <w:rsid w:val="004D16E3"/>
    <w:rsid w:val="004D4034"/>
    <w:rsid w:val="004D411F"/>
    <w:rsid w:val="004D6215"/>
    <w:rsid w:val="004E1F57"/>
    <w:rsid w:val="004E3C1A"/>
    <w:rsid w:val="004F4965"/>
    <w:rsid w:val="004F55A0"/>
    <w:rsid w:val="004F71D3"/>
    <w:rsid w:val="004F7F05"/>
    <w:rsid w:val="0050118A"/>
    <w:rsid w:val="0050168F"/>
    <w:rsid w:val="00501BC9"/>
    <w:rsid w:val="005020ED"/>
    <w:rsid w:val="00507C52"/>
    <w:rsid w:val="00510336"/>
    <w:rsid w:val="005152F7"/>
    <w:rsid w:val="005161A6"/>
    <w:rsid w:val="005162D3"/>
    <w:rsid w:val="0052155A"/>
    <w:rsid w:val="00521E49"/>
    <w:rsid w:val="00521EB4"/>
    <w:rsid w:val="0052243A"/>
    <w:rsid w:val="0052434A"/>
    <w:rsid w:val="00524819"/>
    <w:rsid w:val="00527400"/>
    <w:rsid w:val="005304F5"/>
    <w:rsid w:val="00532A6B"/>
    <w:rsid w:val="00541306"/>
    <w:rsid w:val="00542625"/>
    <w:rsid w:val="0054363F"/>
    <w:rsid w:val="0054419F"/>
    <w:rsid w:val="00546D91"/>
    <w:rsid w:val="0055163E"/>
    <w:rsid w:val="00551882"/>
    <w:rsid w:val="00551E70"/>
    <w:rsid w:val="005527A2"/>
    <w:rsid w:val="005535E9"/>
    <w:rsid w:val="0055477B"/>
    <w:rsid w:val="00554D4F"/>
    <w:rsid w:val="00555027"/>
    <w:rsid w:val="00560565"/>
    <w:rsid w:val="0056735E"/>
    <w:rsid w:val="0057084A"/>
    <w:rsid w:val="00572271"/>
    <w:rsid w:val="005746C0"/>
    <w:rsid w:val="00575294"/>
    <w:rsid w:val="005757E1"/>
    <w:rsid w:val="00576A3C"/>
    <w:rsid w:val="00576EA0"/>
    <w:rsid w:val="00585259"/>
    <w:rsid w:val="00591794"/>
    <w:rsid w:val="00594F90"/>
    <w:rsid w:val="00595B4B"/>
    <w:rsid w:val="005A20B5"/>
    <w:rsid w:val="005A43AB"/>
    <w:rsid w:val="005A4E37"/>
    <w:rsid w:val="005A7EFD"/>
    <w:rsid w:val="005B2290"/>
    <w:rsid w:val="005B332A"/>
    <w:rsid w:val="005B7432"/>
    <w:rsid w:val="005C09F3"/>
    <w:rsid w:val="005C0C33"/>
    <w:rsid w:val="005C4064"/>
    <w:rsid w:val="005D03E8"/>
    <w:rsid w:val="005D22FB"/>
    <w:rsid w:val="005D3403"/>
    <w:rsid w:val="005D36BB"/>
    <w:rsid w:val="005D3795"/>
    <w:rsid w:val="005E23D1"/>
    <w:rsid w:val="005E3363"/>
    <w:rsid w:val="005E4B9A"/>
    <w:rsid w:val="005F27BC"/>
    <w:rsid w:val="00600AA0"/>
    <w:rsid w:val="00601383"/>
    <w:rsid w:val="0060343A"/>
    <w:rsid w:val="0060738F"/>
    <w:rsid w:val="00620E78"/>
    <w:rsid w:val="00621A12"/>
    <w:rsid w:val="00625A98"/>
    <w:rsid w:val="00632CA5"/>
    <w:rsid w:val="0063315E"/>
    <w:rsid w:val="00633F41"/>
    <w:rsid w:val="006366CF"/>
    <w:rsid w:val="00636A22"/>
    <w:rsid w:val="00645C97"/>
    <w:rsid w:val="0064719E"/>
    <w:rsid w:val="00655F09"/>
    <w:rsid w:val="0066547C"/>
    <w:rsid w:val="00667252"/>
    <w:rsid w:val="00670980"/>
    <w:rsid w:val="00670AE0"/>
    <w:rsid w:val="00670FA6"/>
    <w:rsid w:val="00671080"/>
    <w:rsid w:val="006812CB"/>
    <w:rsid w:val="00683EB7"/>
    <w:rsid w:val="006849D6"/>
    <w:rsid w:val="00691170"/>
    <w:rsid w:val="00692B16"/>
    <w:rsid w:val="00697909"/>
    <w:rsid w:val="006A49B1"/>
    <w:rsid w:val="006A5497"/>
    <w:rsid w:val="006A5794"/>
    <w:rsid w:val="006A7FA4"/>
    <w:rsid w:val="006B397A"/>
    <w:rsid w:val="006C2698"/>
    <w:rsid w:val="006C51EB"/>
    <w:rsid w:val="006C5494"/>
    <w:rsid w:val="006C683F"/>
    <w:rsid w:val="006C7F65"/>
    <w:rsid w:val="006D0A0C"/>
    <w:rsid w:val="006D2D02"/>
    <w:rsid w:val="006D4740"/>
    <w:rsid w:val="006D79A9"/>
    <w:rsid w:val="006E2C63"/>
    <w:rsid w:val="006E7DE7"/>
    <w:rsid w:val="006F1189"/>
    <w:rsid w:val="006F42E6"/>
    <w:rsid w:val="006F5229"/>
    <w:rsid w:val="006F5239"/>
    <w:rsid w:val="0070010D"/>
    <w:rsid w:val="0070658A"/>
    <w:rsid w:val="00720B87"/>
    <w:rsid w:val="0072534B"/>
    <w:rsid w:val="0072674A"/>
    <w:rsid w:val="00726E14"/>
    <w:rsid w:val="007271D4"/>
    <w:rsid w:val="00727476"/>
    <w:rsid w:val="00731D71"/>
    <w:rsid w:val="007320B4"/>
    <w:rsid w:val="00732901"/>
    <w:rsid w:val="00741EA3"/>
    <w:rsid w:val="0074254C"/>
    <w:rsid w:val="00743CB5"/>
    <w:rsid w:val="00746BBC"/>
    <w:rsid w:val="00753026"/>
    <w:rsid w:val="007556DE"/>
    <w:rsid w:val="0075580E"/>
    <w:rsid w:val="00756FFA"/>
    <w:rsid w:val="00757D5B"/>
    <w:rsid w:val="00757F7D"/>
    <w:rsid w:val="00765077"/>
    <w:rsid w:val="007668A1"/>
    <w:rsid w:val="00767EFD"/>
    <w:rsid w:val="00771CEF"/>
    <w:rsid w:val="00777DF4"/>
    <w:rsid w:val="0078131F"/>
    <w:rsid w:val="0078282F"/>
    <w:rsid w:val="0078378E"/>
    <w:rsid w:val="00785E97"/>
    <w:rsid w:val="0079419C"/>
    <w:rsid w:val="007948F0"/>
    <w:rsid w:val="0079683A"/>
    <w:rsid w:val="00797053"/>
    <w:rsid w:val="007A0C96"/>
    <w:rsid w:val="007A0D54"/>
    <w:rsid w:val="007A2E97"/>
    <w:rsid w:val="007A3824"/>
    <w:rsid w:val="007A40D1"/>
    <w:rsid w:val="007A5663"/>
    <w:rsid w:val="007B6DA5"/>
    <w:rsid w:val="007B7E2D"/>
    <w:rsid w:val="007C3008"/>
    <w:rsid w:val="007C5708"/>
    <w:rsid w:val="007C6735"/>
    <w:rsid w:val="007D1BA3"/>
    <w:rsid w:val="007D3265"/>
    <w:rsid w:val="007D583C"/>
    <w:rsid w:val="007D6121"/>
    <w:rsid w:val="007D79C4"/>
    <w:rsid w:val="007E0AE3"/>
    <w:rsid w:val="007E1A05"/>
    <w:rsid w:val="007E208D"/>
    <w:rsid w:val="007E4597"/>
    <w:rsid w:val="007E6DC5"/>
    <w:rsid w:val="007E741F"/>
    <w:rsid w:val="007F2A13"/>
    <w:rsid w:val="007F512D"/>
    <w:rsid w:val="00804995"/>
    <w:rsid w:val="0081024E"/>
    <w:rsid w:val="00811B9A"/>
    <w:rsid w:val="00814239"/>
    <w:rsid w:val="008165D6"/>
    <w:rsid w:val="00817EF9"/>
    <w:rsid w:val="00821F47"/>
    <w:rsid w:val="008251AD"/>
    <w:rsid w:val="008313DB"/>
    <w:rsid w:val="00831BB1"/>
    <w:rsid w:val="0083220A"/>
    <w:rsid w:val="00832822"/>
    <w:rsid w:val="00834A2F"/>
    <w:rsid w:val="00840E3B"/>
    <w:rsid w:val="00842854"/>
    <w:rsid w:val="00842AC2"/>
    <w:rsid w:val="00843D99"/>
    <w:rsid w:val="0085205F"/>
    <w:rsid w:val="00852599"/>
    <w:rsid w:val="008530BB"/>
    <w:rsid w:val="008533ED"/>
    <w:rsid w:val="00854E27"/>
    <w:rsid w:val="00855C2E"/>
    <w:rsid w:val="00856C19"/>
    <w:rsid w:val="00860195"/>
    <w:rsid w:val="00861A0A"/>
    <w:rsid w:val="00861D4D"/>
    <w:rsid w:val="00862276"/>
    <w:rsid w:val="00862912"/>
    <w:rsid w:val="00863144"/>
    <w:rsid w:val="00864EAF"/>
    <w:rsid w:val="00865986"/>
    <w:rsid w:val="00866B0C"/>
    <w:rsid w:val="00866E86"/>
    <w:rsid w:val="008677B2"/>
    <w:rsid w:val="0087107D"/>
    <w:rsid w:val="00871142"/>
    <w:rsid w:val="008715C1"/>
    <w:rsid w:val="008734C6"/>
    <w:rsid w:val="00875AFE"/>
    <w:rsid w:val="00877A30"/>
    <w:rsid w:val="00880C5D"/>
    <w:rsid w:val="00880F26"/>
    <w:rsid w:val="0088474E"/>
    <w:rsid w:val="008854BE"/>
    <w:rsid w:val="008867C0"/>
    <w:rsid w:val="0088796F"/>
    <w:rsid w:val="008922CC"/>
    <w:rsid w:val="0089253A"/>
    <w:rsid w:val="00896783"/>
    <w:rsid w:val="008A0987"/>
    <w:rsid w:val="008A255F"/>
    <w:rsid w:val="008A4723"/>
    <w:rsid w:val="008A629C"/>
    <w:rsid w:val="008B0095"/>
    <w:rsid w:val="008B0B9B"/>
    <w:rsid w:val="008B1415"/>
    <w:rsid w:val="008B22A6"/>
    <w:rsid w:val="008B590F"/>
    <w:rsid w:val="008C0A02"/>
    <w:rsid w:val="008C213A"/>
    <w:rsid w:val="008C5F7A"/>
    <w:rsid w:val="008D1420"/>
    <w:rsid w:val="008D233B"/>
    <w:rsid w:val="008D3526"/>
    <w:rsid w:val="008D3A7F"/>
    <w:rsid w:val="008D3D21"/>
    <w:rsid w:val="008D7F16"/>
    <w:rsid w:val="008F41D3"/>
    <w:rsid w:val="008F75A0"/>
    <w:rsid w:val="00901385"/>
    <w:rsid w:val="00906B43"/>
    <w:rsid w:val="0091413E"/>
    <w:rsid w:val="00914AE0"/>
    <w:rsid w:val="00915194"/>
    <w:rsid w:val="0091543E"/>
    <w:rsid w:val="00923536"/>
    <w:rsid w:val="00923698"/>
    <w:rsid w:val="009240BD"/>
    <w:rsid w:val="009247FC"/>
    <w:rsid w:val="00924901"/>
    <w:rsid w:val="009315E1"/>
    <w:rsid w:val="00931E91"/>
    <w:rsid w:val="00932C0A"/>
    <w:rsid w:val="009341F3"/>
    <w:rsid w:val="00934DBC"/>
    <w:rsid w:val="00940AD1"/>
    <w:rsid w:val="00940F69"/>
    <w:rsid w:val="00943531"/>
    <w:rsid w:val="00944A0A"/>
    <w:rsid w:val="00944EB5"/>
    <w:rsid w:val="00960AC7"/>
    <w:rsid w:val="00963170"/>
    <w:rsid w:val="00963E04"/>
    <w:rsid w:val="00971F7D"/>
    <w:rsid w:val="00973938"/>
    <w:rsid w:val="00976A85"/>
    <w:rsid w:val="0098221D"/>
    <w:rsid w:val="00983913"/>
    <w:rsid w:val="00985552"/>
    <w:rsid w:val="00986D90"/>
    <w:rsid w:val="009923E1"/>
    <w:rsid w:val="00994E5A"/>
    <w:rsid w:val="00996185"/>
    <w:rsid w:val="009A29DD"/>
    <w:rsid w:val="009A4217"/>
    <w:rsid w:val="009A57CC"/>
    <w:rsid w:val="009B2EFF"/>
    <w:rsid w:val="009B3700"/>
    <w:rsid w:val="009B62C1"/>
    <w:rsid w:val="009B6EB1"/>
    <w:rsid w:val="009B7C9D"/>
    <w:rsid w:val="009C353C"/>
    <w:rsid w:val="009C69DD"/>
    <w:rsid w:val="009C757E"/>
    <w:rsid w:val="009C7E9C"/>
    <w:rsid w:val="009D020C"/>
    <w:rsid w:val="009D0D07"/>
    <w:rsid w:val="009D31C9"/>
    <w:rsid w:val="009E4277"/>
    <w:rsid w:val="009E718E"/>
    <w:rsid w:val="009F0D72"/>
    <w:rsid w:val="009F2296"/>
    <w:rsid w:val="00A007AA"/>
    <w:rsid w:val="00A00B0A"/>
    <w:rsid w:val="00A019D2"/>
    <w:rsid w:val="00A02220"/>
    <w:rsid w:val="00A034EE"/>
    <w:rsid w:val="00A04D43"/>
    <w:rsid w:val="00A0599C"/>
    <w:rsid w:val="00A05AE8"/>
    <w:rsid w:val="00A06AC1"/>
    <w:rsid w:val="00A075F0"/>
    <w:rsid w:val="00A121DD"/>
    <w:rsid w:val="00A12E58"/>
    <w:rsid w:val="00A17EC0"/>
    <w:rsid w:val="00A17F5E"/>
    <w:rsid w:val="00A2240B"/>
    <w:rsid w:val="00A257BD"/>
    <w:rsid w:val="00A32160"/>
    <w:rsid w:val="00A32D9A"/>
    <w:rsid w:val="00A3667B"/>
    <w:rsid w:val="00A377CE"/>
    <w:rsid w:val="00A43CF2"/>
    <w:rsid w:val="00A44E7F"/>
    <w:rsid w:val="00A4519A"/>
    <w:rsid w:val="00A4525D"/>
    <w:rsid w:val="00A51D83"/>
    <w:rsid w:val="00A5206B"/>
    <w:rsid w:val="00A54F22"/>
    <w:rsid w:val="00A572D7"/>
    <w:rsid w:val="00A630F6"/>
    <w:rsid w:val="00A641EF"/>
    <w:rsid w:val="00A64ACB"/>
    <w:rsid w:val="00A64C24"/>
    <w:rsid w:val="00A65D1E"/>
    <w:rsid w:val="00A70A5C"/>
    <w:rsid w:val="00A70DC0"/>
    <w:rsid w:val="00A70E6B"/>
    <w:rsid w:val="00A74DB8"/>
    <w:rsid w:val="00A750C3"/>
    <w:rsid w:val="00A75D80"/>
    <w:rsid w:val="00A83F71"/>
    <w:rsid w:val="00A905BB"/>
    <w:rsid w:val="00A92B83"/>
    <w:rsid w:val="00A9416D"/>
    <w:rsid w:val="00A94E1C"/>
    <w:rsid w:val="00AA014C"/>
    <w:rsid w:val="00AA09D4"/>
    <w:rsid w:val="00AA430F"/>
    <w:rsid w:val="00AA617B"/>
    <w:rsid w:val="00AB13A6"/>
    <w:rsid w:val="00AB24D6"/>
    <w:rsid w:val="00AC362C"/>
    <w:rsid w:val="00AC395C"/>
    <w:rsid w:val="00AC3F2F"/>
    <w:rsid w:val="00AC466F"/>
    <w:rsid w:val="00AC58C4"/>
    <w:rsid w:val="00AC5CBE"/>
    <w:rsid w:val="00AC7741"/>
    <w:rsid w:val="00AD14A3"/>
    <w:rsid w:val="00AD3A02"/>
    <w:rsid w:val="00AD7279"/>
    <w:rsid w:val="00AE03F2"/>
    <w:rsid w:val="00AE78E4"/>
    <w:rsid w:val="00AF2C74"/>
    <w:rsid w:val="00AF3EA7"/>
    <w:rsid w:val="00B007C8"/>
    <w:rsid w:val="00B0273B"/>
    <w:rsid w:val="00B0608B"/>
    <w:rsid w:val="00B06BDF"/>
    <w:rsid w:val="00B12641"/>
    <w:rsid w:val="00B12A5F"/>
    <w:rsid w:val="00B1302B"/>
    <w:rsid w:val="00B139AF"/>
    <w:rsid w:val="00B149BE"/>
    <w:rsid w:val="00B176D6"/>
    <w:rsid w:val="00B23E51"/>
    <w:rsid w:val="00B268D0"/>
    <w:rsid w:val="00B30B9A"/>
    <w:rsid w:val="00B31606"/>
    <w:rsid w:val="00B319E3"/>
    <w:rsid w:val="00B32B39"/>
    <w:rsid w:val="00B340A4"/>
    <w:rsid w:val="00B36805"/>
    <w:rsid w:val="00B368D4"/>
    <w:rsid w:val="00B40053"/>
    <w:rsid w:val="00B40163"/>
    <w:rsid w:val="00B4283F"/>
    <w:rsid w:val="00B45251"/>
    <w:rsid w:val="00B51385"/>
    <w:rsid w:val="00B5289E"/>
    <w:rsid w:val="00B6663A"/>
    <w:rsid w:val="00B707A4"/>
    <w:rsid w:val="00B71371"/>
    <w:rsid w:val="00B7190C"/>
    <w:rsid w:val="00B7279F"/>
    <w:rsid w:val="00B75F0E"/>
    <w:rsid w:val="00B76439"/>
    <w:rsid w:val="00B76F9A"/>
    <w:rsid w:val="00B82E97"/>
    <w:rsid w:val="00B86A1A"/>
    <w:rsid w:val="00B92559"/>
    <w:rsid w:val="00B94B5D"/>
    <w:rsid w:val="00BA02A6"/>
    <w:rsid w:val="00BA0E9E"/>
    <w:rsid w:val="00BA1A54"/>
    <w:rsid w:val="00BA2CBD"/>
    <w:rsid w:val="00BA68E9"/>
    <w:rsid w:val="00BA699C"/>
    <w:rsid w:val="00BB2EA3"/>
    <w:rsid w:val="00BB6A7B"/>
    <w:rsid w:val="00BB7827"/>
    <w:rsid w:val="00BB7CED"/>
    <w:rsid w:val="00BC1027"/>
    <w:rsid w:val="00BC34C5"/>
    <w:rsid w:val="00BC3FB5"/>
    <w:rsid w:val="00BC43FC"/>
    <w:rsid w:val="00BD1235"/>
    <w:rsid w:val="00BD137C"/>
    <w:rsid w:val="00BD28E7"/>
    <w:rsid w:val="00BD4BB5"/>
    <w:rsid w:val="00BD6D9F"/>
    <w:rsid w:val="00BE0A37"/>
    <w:rsid w:val="00BE42D8"/>
    <w:rsid w:val="00BE5461"/>
    <w:rsid w:val="00BF0A80"/>
    <w:rsid w:val="00BF2715"/>
    <w:rsid w:val="00BF3A22"/>
    <w:rsid w:val="00BF4730"/>
    <w:rsid w:val="00BF5BCE"/>
    <w:rsid w:val="00BF77CE"/>
    <w:rsid w:val="00C030F7"/>
    <w:rsid w:val="00C03864"/>
    <w:rsid w:val="00C12098"/>
    <w:rsid w:val="00C12438"/>
    <w:rsid w:val="00C160B8"/>
    <w:rsid w:val="00C213D2"/>
    <w:rsid w:val="00C2207F"/>
    <w:rsid w:val="00C35202"/>
    <w:rsid w:val="00C40CB7"/>
    <w:rsid w:val="00C43CF7"/>
    <w:rsid w:val="00C45545"/>
    <w:rsid w:val="00C47190"/>
    <w:rsid w:val="00C479EF"/>
    <w:rsid w:val="00C57831"/>
    <w:rsid w:val="00C6080E"/>
    <w:rsid w:val="00C62357"/>
    <w:rsid w:val="00C65066"/>
    <w:rsid w:val="00C66F72"/>
    <w:rsid w:val="00C72B76"/>
    <w:rsid w:val="00C746A7"/>
    <w:rsid w:val="00C75BAF"/>
    <w:rsid w:val="00C75D0A"/>
    <w:rsid w:val="00C84278"/>
    <w:rsid w:val="00C848EE"/>
    <w:rsid w:val="00C90743"/>
    <w:rsid w:val="00C93C60"/>
    <w:rsid w:val="00C9419C"/>
    <w:rsid w:val="00C95DED"/>
    <w:rsid w:val="00CA32DC"/>
    <w:rsid w:val="00CA4F45"/>
    <w:rsid w:val="00CB338C"/>
    <w:rsid w:val="00CB35D1"/>
    <w:rsid w:val="00CB7607"/>
    <w:rsid w:val="00CC4679"/>
    <w:rsid w:val="00CD0DCE"/>
    <w:rsid w:val="00CD319B"/>
    <w:rsid w:val="00CD5DE3"/>
    <w:rsid w:val="00CE0E6B"/>
    <w:rsid w:val="00CE45C1"/>
    <w:rsid w:val="00CE6790"/>
    <w:rsid w:val="00CF3834"/>
    <w:rsid w:val="00CF4668"/>
    <w:rsid w:val="00CF4B7D"/>
    <w:rsid w:val="00CF4BEE"/>
    <w:rsid w:val="00CF65D2"/>
    <w:rsid w:val="00CF7A86"/>
    <w:rsid w:val="00D00107"/>
    <w:rsid w:val="00D079BD"/>
    <w:rsid w:val="00D2236C"/>
    <w:rsid w:val="00D23520"/>
    <w:rsid w:val="00D23D8B"/>
    <w:rsid w:val="00D3049D"/>
    <w:rsid w:val="00D42D63"/>
    <w:rsid w:val="00D4379F"/>
    <w:rsid w:val="00D477A0"/>
    <w:rsid w:val="00D47EA7"/>
    <w:rsid w:val="00D76042"/>
    <w:rsid w:val="00D771AA"/>
    <w:rsid w:val="00D83E7D"/>
    <w:rsid w:val="00D85751"/>
    <w:rsid w:val="00D907E6"/>
    <w:rsid w:val="00D92D4F"/>
    <w:rsid w:val="00D93F64"/>
    <w:rsid w:val="00D9502F"/>
    <w:rsid w:val="00DA23A7"/>
    <w:rsid w:val="00DA49F7"/>
    <w:rsid w:val="00DA5940"/>
    <w:rsid w:val="00DB0B24"/>
    <w:rsid w:val="00DB0FCE"/>
    <w:rsid w:val="00DB1151"/>
    <w:rsid w:val="00DC2A16"/>
    <w:rsid w:val="00DC317C"/>
    <w:rsid w:val="00DC34FB"/>
    <w:rsid w:val="00DC7392"/>
    <w:rsid w:val="00DD0378"/>
    <w:rsid w:val="00DD392C"/>
    <w:rsid w:val="00DD5526"/>
    <w:rsid w:val="00DE17A9"/>
    <w:rsid w:val="00DF0C99"/>
    <w:rsid w:val="00DF4063"/>
    <w:rsid w:val="00DF57F6"/>
    <w:rsid w:val="00DF64A3"/>
    <w:rsid w:val="00E00C26"/>
    <w:rsid w:val="00E03388"/>
    <w:rsid w:val="00E058A3"/>
    <w:rsid w:val="00E05F12"/>
    <w:rsid w:val="00E1299D"/>
    <w:rsid w:val="00E15418"/>
    <w:rsid w:val="00E25E84"/>
    <w:rsid w:val="00E2764B"/>
    <w:rsid w:val="00E40144"/>
    <w:rsid w:val="00E420C1"/>
    <w:rsid w:val="00E430FD"/>
    <w:rsid w:val="00E46442"/>
    <w:rsid w:val="00E46E9C"/>
    <w:rsid w:val="00E50D95"/>
    <w:rsid w:val="00E55259"/>
    <w:rsid w:val="00E562A3"/>
    <w:rsid w:val="00E5713B"/>
    <w:rsid w:val="00E57DB0"/>
    <w:rsid w:val="00E607D5"/>
    <w:rsid w:val="00E608A3"/>
    <w:rsid w:val="00E60D00"/>
    <w:rsid w:val="00E62026"/>
    <w:rsid w:val="00E64768"/>
    <w:rsid w:val="00E663AC"/>
    <w:rsid w:val="00E678F9"/>
    <w:rsid w:val="00E715AF"/>
    <w:rsid w:val="00E75CE2"/>
    <w:rsid w:val="00E82C6F"/>
    <w:rsid w:val="00E84A47"/>
    <w:rsid w:val="00E85F29"/>
    <w:rsid w:val="00E86D78"/>
    <w:rsid w:val="00EA10EA"/>
    <w:rsid w:val="00EA3142"/>
    <w:rsid w:val="00EA32D3"/>
    <w:rsid w:val="00EB5F98"/>
    <w:rsid w:val="00EB721C"/>
    <w:rsid w:val="00EC08CA"/>
    <w:rsid w:val="00EC13CA"/>
    <w:rsid w:val="00EC178E"/>
    <w:rsid w:val="00EC5325"/>
    <w:rsid w:val="00ED3398"/>
    <w:rsid w:val="00ED3D50"/>
    <w:rsid w:val="00ED6D37"/>
    <w:rsid w:val="00ED71D2"/>
    <w:rsid w:val="00EE4E77"/>
    <w:rsid w:val="00EE5117"/>
    <w:rsid w:val="00EE60DB"/>
    <w:rsid w:val="00EE6C03"/>
    <w:rsid w:val="00EE7A52"/>
    <w:rsid w:val="00EF28D2"/>
    <w:rsid w:val="00EF4EA3"/>
    <w:rsid w:val="00F011B4"/>
    <w:rsid w:val="00F023DB"/>
    <w:rsid w:val="00F05A09"/>
    <w:rsid w:val="00F10217"/>
    <w:rsid w:val="00F1103D"/>
    <w:rsid w:val="00F20785"/>
    <w:rsid w:val="00F21888"/>
    <w:rsid w:val="00F23532"/>
    <w:rsid w:val="00F363BC"/>
    <w:rsid w:val="00F36A1C"/>
    <w:rsid w:val="00F36CA4"/>
    <w:rsid w:val="00F403E4"/>
    <w:rsid w:val="00F40EAE"/>
    <w:rsid w:val="00F41A73"/>
    <w:rsid w:val="00F431EB"/>
    <w:rsid w:val="00F45009"/>
    <w:rsid w:val="00F47057"/>
    <w:rsid w:val="00F4759C"/>
    <w:rsid w:val="00F506F3"/>
    <w:rsid w:val="00F52322"/>
    <w:rsid w:val="00F53DF9"/>
    <w:rsid w:val="00F5598B"/>
    <w:rsid w:val="00F55C63"/>
    <w:rsid w:val="00F56C4F"/>
    <w:rsid w:val="00F610DD"/>
    <w:rsid w:val="00F65211"/>
    <w:rsid w:val="00F65AF2"/>
    <w:rsid w:val="00F700DC"/>
    <w:rsid w:val="00F709C4"/>
    <w:rsid w:val="00F73D19"/>
    <w:rsid w:val="00F74C84"/>
    <w:rsid w:val="00F75E9C"/>
    <w:rsid w:val="00F77816"/>
    <w:rsid w:val="00F77EF6"/>
    <w:rsid w:val="00F914F3"/>
    <w:rsid w:val="00F93507"/>
    <w:rsid w:val="00F9661C"/>
    <w:rsid w:val="00FC0F2A"/>
    <w:rsid w:val="00FC106F"/>
    <w:rsid w:val="00FC3B8E"/>
    <w:rsid w:val="00FC3D30"/>
    <w:rsid w:val="00FC4755"/>
    <w:rsid w:val="00FC4F2D"/>
    <w:rsid w:val="00FD78C8"/>
    <w:rsid w:val="00FE225F"/>
    <w:rsid w:val="00FE283A"/>
    <w:rsid w:val="00FE4961"/>
    <w:rsid w:val="00FF0285"/>
    <w:rsid w:val="00FF1601"/>
    <w:rsid w:val="00FF22FD"/>
    <w:rsid w:val="00FF3B04"/>
    <w:rsid w:val="00FF6E2E"/>
    <w:rsid w:val="00FF7E3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B41603"/>
  <w15:chartTrackingRefBased/>
  <w15:docId w15:val="{31F08350-2A79-4466-B0BC-4094904D5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1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31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31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31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31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31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1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1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1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1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31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431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31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31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31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1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1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130"/>
    <w:rPr>
      <w:rFonts w:eastAsiaTheme="majorEastAsia" w:cstheme="majorBidi"/>
      <w:color w:val="272727" w:themeColor="text1" w:themeTint="D8"/>
    </w:rPr>
  </w:style>
  <w:style w:type="paragraph" w:styleId="Title">
    <w:name w:val="Title"/>
    <w:basedOn w:val="Normal"/>
    <w:next w:val="Normal"/>
    <w:link w:val="TitleChar"/>
    <w:uiPriority w:val="10"/>
    <w:qFormat/>
    <w:rsid w:val="000431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1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1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1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130"/>
    <w:pPr>
      <w:spacing w:before="160"/>
      <w:jc w:val="center"/>
    </w:pPr>
    <w:rPr>
      <w:i/>
      <w:iCs/>
      <w:color w:val="404040" w:themeColor="text1" w:themeTint="BF"/>
    </w:rPr>
  </w:style>
  <w:style w:type="character" w:customStyle="1" w:styleId="QuoteChar">
    <w:name w:val="Quote Char"/>
    <w:basedOn w:val="DefaultParagraphFont"/>
    <w:link w:val="Quote"/>
    <w:uiPriority w:val="29"/>
    <w:rsid w:val="00043130"/>
    <w:rPr>
      <w:i/>
      <w:iCs/>
      <w:color w:val="404040" w:themeColor="text1" w:themeTint="BF"/>
    </w:rPr>
  </w:style>
  <w:style w:type="paragraph" w:styleId="ListParagraph">
    <w:name w:val="List Paragraph"/>
    <w:basedOn w:val="Normal"/>
    <w:uiPriority w:val="34"/>
    <w:qFormat/>
    <w:rsid w:val="00043130"/>
    <w:pPr>
      <w:ind w:left="720"/>
      <w:contextualSpacing/>
    </w:pPr>
  </w:style>
  <w:style w:type="character" w:styleId="IntenseEmphasis">
    <w:name w:val="Intense Emphasis"/>
    <w:basedOn w:val="DefaultParagraphFont"/>
    <w:uiPriority w:val="21"/>
    <w:qFormat/>
    <w:rsid w:val="00043130"/>
    <w:rPr>
      <w:i/>
      <w:iCs/>
      <w:color w:val="0F4761" w:themeColor="accent1" w:themeShade="BF"/>
    </w:rPr>
  </w:style>
  <w:style w:type="paragraph" w:styleId="IntenseQuote">
    <w:name w:val="Intense Quote"/>
    <w:basedOn w:val="Normal"/>
    <w:next w:val="Normal"/>
    <w:link w:val="IntenseQuoteChar"/>
    <w:uiPriority w:val="30"/>
    <w:qFormat/>
    <w:rsid w:val="000431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3130"/>
    <w:rPr>
      <w:i/>
      <w:iCs/>
      <w:color w:val="0F4761" w:themeColor="accent1" w:themeShade="BF"/>
    </w:rPr>
  </w:style>
  <w:style w:type="character" w:styleId="IntenseReference">
    <w:name w:val="Intense Reference"/>
    <w:basedOn w:val="DefaultParagraphFont"/>
    <w:uiPriority w:val="32"/>
    <w:qFormat/>
    <w:rsid w:val="00043130"/>
    <w:rPr>
      <w:b/>
      <w:bCs/>
      <w:smallCaps/>
      <w:color w:val="0F4761" w:themeColor="accent1" w:themeShade="BF"/>
      <w:spacing w:val="5"/>
    </w:rPr>
  </w:style>
  <w:style w:type="paragraph" w:styleId="Header">
    <w:name w:val="header"/>
    <w:basedOn w:val="Normal"/>
    <w:link w:val="HeaderChar"/>
    <w:uiPriority w:val="99"/>
    <w:unhideWhenUsed/>
    <w:rsid w:val="008601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195"/>
  </w:style>
  <w:style w:type="paragraph" w:styleId="Footer">
    <w:name w:val="footer"/>
    <w:basedOn w:val="Normal"/>
    <w:link w:val="FooterChar"/>
    <w:uiPriority w:val="99"/>
    <w:unhideWhenUsed/>
    <w:rsid w:val="008601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195"/>
  </w:style>
  <w:style w:type="table" w:styleId="TableGrid">
    <w:name w:val="Table Grid"/>
    <w:basedOn w:val="TableNormal"/>
    <w:uiPriority w:val="39"/>
    <w:rsid w:val="00126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71F7D"/>
    <w:rPr>
      <w:sz w:val="16"/>
      <w:szCs w:val="16"/>
    </w:rPr>
  </w:style>
  <w:style w:type="paragraph" w:styleId="CommentText">
    <w:name w:val="annotation text"/>
    <w:basedOn w:val="Normal"/>
    <w:link w:val="CommentTextChar"/>
    <w:uiPriority w:val="99"/>
    <w:unhideWhenUsed/>
    <w:rsid w:val="00971F7D"/>
    <w:pPr>
      <w:spacing w:line="240" w:lineRule="auto"/>
    </w:pPr>
    <w:rPr>
      <w:sz w:val="20"/>
      <w:szCs w:val="20"/>
    </w:rPr>
  </w:style>
  <w:style w:type="character" w:customStyle="1" w:styleId="CommentTextChar">
    <w:name w:val="Comment Text Char"/>
    <w:basedOn w:val="DefaultParagraphFont"/>
    <w:link w:val="CommentText"/>
    <w:uiPriority w:val="99"/>
    <w:rsid w:val="00971F7D"/>
    <w:rPr>
      <w:sz w:val="20"/>
      <w:szCs w:val="20"/>
    </w:rPr>
  </w:style>
  <w:style w:type="paragraph" w:styleId="CommentSubject">
    <w:name w:val="annotation subject"/>
    <w:basedOn w:val="CommentText"/>
    <w:next w:val="CommentText"/>
    <w:link w:val="CommentSubjectChar"/>
    <w:uiPriority w:val="99"/>
    <w:semiHidden/>
    <w:unhideWhenUsed/>
    <w:rsid w:val="00971F7D"/>
    <w:rPr>
      <w:b/>
      <w:bCs/>
    </w:rPr>
  </w:style>
  <w:style w:type="character" w:customStyle="1" w:styleId="CommentSubjectChar">
    <w:name w:val="Comment Subject Char"/>
    <w:basedOn w:val="CommentTextChar"/>
    <w:link w:val="CommentSubject"/>
    <w:uiPriority w:val="99"/>
    <w:semiHidden/>
    <w:rsid w:val="00971F7D"/>
    <w:rPr>
      <w:b/>
      <w:bCs/>
      <w:sz w:val="20"/>
      <w:szCs w:val="20"/>
    </w:rPr>
  </w:style>
  <w:style w:type="character" w:customStyle="1" w:styleId="textlayer--absolute">
    <w:name w:val="textlayer--absolute"/>
    <w:basedOn w:val="DefaultParagraphFont"/>
    <w:rsid w:val="00B139AF"/>
  </w:style>
  <w:style w:type="character" w:styleId="Strong">
    <w:name w:val="Strong"/>
    <w:basedOn w:val="DefaultParagraphFont"/>
    <w:uiPriority w:val="22"/>
    <w:qFormat/>
    <w:rsid w:val="00145235"/>
    <w:rPr>
      <w:b/>
      <w:bCs/>
    </w:rPr>
  </w:style>
  <w:style w:type="character" w:styleId="HTMLCode">
    <w:name w:val="HTML Code"/>
    <w:basedOn w:val="DefaultParagraphFont"/>
    <w:uiPriority w:val="99"/>
    <w:semiHidden/>
    <w:unhideWhenUsed/>
    <w:rsid w:val="001452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49475">
      <w:bodyDiv w:val="1"/>
      <w:marLeft w:val="0"/>
      <w:marRight w:val="0"/>
      <w:marTop w:val="0"/>
      <w:marBottom w:val="0"/>
      <w:divBdr>
        <w:top w:val="none" w:sz="0" w:space="0" w:color="auto"/>
        <w:left w:val="none" w:sz="0" w:space="0" w:color="auto"/>
        <w:bottom w:val="none" w:sz="0" w:space="0" w:color="auto"/>
        <w:right w:val="none" w:sz="0" w:space="0" w:color="auto"/>
      </w:divBdr>
      <w:divsChild>
        <w:div w:id="1253079038">
          <w:marLeft w:val="0"/>
          <w:marRight w:val="0"/>
          <w:marTop w:val="0"/>
          <w:marBottom w:val="0"/>
          <w:divBdr>
            <w:top w:val="none" w:sz="0" w:space="0" w:color="auto"/>
            <w:left w:val="none" w:sz="0" w:space="0" w:color="auto"/>
            <w:bottom w:val="none" w:sz="0" w:space="0" w:color="auto"/>
            <w:right w:val="none" w:sz="0" w:space="0" w:color="auto"/>
          </w:divBdr>
          <w:divsChild>
            <w:div w:id="18339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5928">
      <w:bodyDiv w:val="1"/>
      <w:marLeft w:val="0"/>
      <w:marRight w:val="0"/>
      <w:marTop w:val="0"/>
      <w:marBottom w:val="0"/>
      <w:divBdr>
        <w:top w:val="none" w:sz="0" w:space="0" w:color="auto"/>
        <w:left w:val="none" w:sz="0" w:space="0" w:color="auto"/>
        <w:bottom w:val="none" w:sz="0" w:space="0" w:color="auto"/>
        <w:right w:val="none" w:sz="0" w:space="0" w:color="auto"/>
      </w:divBdr>
    </w:div>
    <w:div w:id="306016643">
      <w:bodyDiv w:val="1"/>
      <w:marLeft w:val="0"/>
      <w:marRight w:val="0"/>
      <w:marTop w:val="0"/>
      <w:marBottom w:val="0"/>
      <w:divBdr>
        <w:top w:val="none" w:sz="0" w:space="0" w:color="auto"/>
        <w:left w:val="none" w:sz="0" w:space="0" w:color="auto"/>
        <w:bottom w:val="none" w:sz="0" w:space="0" w:color="auto"/>
        <w:right w:val="none" w:sz="0" w:space="0" w:color="auto"/>
      </w:divBdr>
    </w:div>
    <w:div w:id="389882344">
      <w:bodyDiv w:val="1"/>
      <w:marLeft w:val="0"/>
      <w:marRight w:val="0"/>
      <w:marTop w:val="0"/>
      <w:marBottom w:val="0"/>
      <w:divBdr>
        <w:top w:val="none" w:sz="0" w:space="0" w:color="auto"/>
        <w:left w:val="none" w:sz="0" w:space="0" w:color="auto"/>
        <w:bottom w:val="none" w:sz="0" w:space="0" w:color="auto"/>
        <w:right w:val="none" w:sz="0" w:space="0" w:color="auto"/>
      </w:divBdr>
    </w:div>
    <w:div w:id="420642480">
      <w:bodyDiv w:val="1"/>
      <w:marLeft w:val="0"/>
      <w:marRight w:val="0"/>
      <w:marTop w:val="0"/>
      <w:marBottom w:val="0"/>
      <w:divBdr>
        <w:top w:val="none" w:sz="0" w:space="0" w:color="auto"/>
        <w:left w:val="none" w:sz="0" w:space="0" w:color="auto"/>
        <w:bottom w:val="none" w:sz="0" w:space="0" w:color="auto"/>
        <w:right w:val="none" w:sz="0" w:space="0" w:color="auto"/>
      </w:divBdr>
      <w:divsChild>
        <w:div w:id="313685805">
          <w:marLeft w:val="0"/>
          <w:marRight w:val="0"/>
          <w:marTop w:val="0"/>
          <w:marBottom w:val="0"/>
          <w:divBdr>
            <w:top w:val="none" w:sz="0" w:space="0" w:color="auto"/>
            <w:left w:val="none" w:sz="0" w:space="0" w:color="auto"/>
            <w:bottom w:val="none" w:sz="0" w:space="0" w:color="auto"/>
            <w:right w:val="none" w:sz="0" w:space="0" w:color="auto"/>
          </w:divBdr>
          <w:divsChild>
            <w:div w:id="96188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9165">
      <w:bodyDiv w:val="1"/>
      <w:marLeft w:val="0"/>
      <w:marRight w:val="0"/>
      <w:marTop w:val="0"/>
      <w:marBottom w:val="0"/>
      <w:divBdr>
        <w:top w:val="none" w:sz="0" w:space="0" w:color="auto"/>
        <w:left w:val="none" w:sz="0" w:space="0" w:color="auto"/>
        <w:bottom w:val="none" w:sz="0" w:space="0" w:color="auto"/>
        <w:right w:val="none" w:sz="0" w:space="0" w:color="auto"/>
      </w:divBdr>
    </w:div>
    <w:div w:id="553279215">
      <w:bodyDiv w:val="1"/>
      <w:marLeft w:val="0"/>
      <w:marRight w:val="0"/>
      <w:marTop w:val="0"/>
      <w:marBottom w:val="0"/>
      <w:divBdr>
        <w:top w:val="none" w:sz="0" w:space="0" w:color="auto"/>
        <w:left w:val="none" w:sz="0" w:space="0" w:color="auto"/>
        <w:bottom w:val="none" w:sz="0" w:space="0" w:color="auto"/>
        <w:right w:val="none" w:sz="0" w:space="0" w:color="auto"/>
      </w:divBdr>
      <w:divsChild>
        <w:div w:id="1299531366">
          <w:marLeft w:val="0"/>
          <w:marRight w:val="0"/>
          <w:marTop w:val="100"/>
          <w:marBottom w:val="100"/>
          <w:divBdr>
            <w:top w:val="none" w:sz="0" w:space="0" w:color="auto"/>
            <w:left w:val="none" w:sz="0" w:space="0" w:color="auto"/>
            <w:bottom w:val="none" w:sz="0" w:space="0" w:color="auto"/>
            <w:right w:val="none" w:sz="0" w:space="0" w:color="auto"/>
          </w:divBdr>
          <w:divsChild>
            <w:div w:id="1054357426">
              <w:marLeft w:val="0"/>
              <w:marRight w:val="0"/>
              <w:marTop w:val="750"/>
              <w:marBottom w:val="750"/>
              <w:divBdr>
                <w:top w:val="none" w:sz="0" w:space="0" w:color="auto"/>
                <w:left w:val="none" w:sz="0" w:space="0" w:color="auto"/>
                <w:bottom w:val="none" w:sz="0" w:space="0" w:color="auto"/>
                <w:right w:val="none" w:sz="0" w:space="0" w:color="auto"/>
              </w:divBdr>
              <w:divsChild>
                <w:div w:id="1825664183">
                  <w:marLeft w:val="0"/>
                  <w:marRight w:val="0"/>
                  <w:marTop w:val="0"/>
                  <w:marBottom w:val="0"/>
                  <w:divBdr>
                    <w:top w:val="none" w:sz="0" w:space="0" w:color="auto"/>
                    <w:left w:val="none" w:sz="0" w:space="0" w:color="auto"/>
                    <w:bottom w:val="none" w:sz="0" w:space="0" w:color="auto"/>
                    <w:right w:val="none" w:sz="0" w:space="0" w:color="auto"/>
                  </w:divBdr>
                  <w:divsChild>
                    <w:div w:id="623925667">
                      <w:marLeft w:val="0"/>
                      <w:marRight w:val="0"/>
                      <w:marTop w:val="0"/>
                      <w:marBottom w:val="0"/>
                      <w:divBdr>
                        <w:top w:val="none" w:sz="0" w:space="0" w:color="auto"/>
                        <w:left w:val="none" w:sz="0" w:space="0" w:color="auto"/>
                        <w:bottom w:val="none" w:sz="0" w:space="0" w:color="auto"/>
                        <w:right w:val="none" w:sz="0" w:space="0" w:color="auto"/>
                      </w:divBdr>
                      <w:divsChild>
                        <w:div w:id="14454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407060">
      <w:bodyDiv w:val="1"/>
      <w:marLeft w:val="0"/>
      <w:marRight w:val="0"/>
      <w:marTop w:val="0"/>
      <w:marBottom w:val="0"/>
      <w:divBdr>
        <w:top w:val="none" w:sz="0" w:space="0" w:color="auto"/>
        <w:left w:val="none" w:sz="0" w:space="0" w:color="auto"/>
        <w:bottom w:val="none" w:sz="0" w:space="0" w:color="auto"/>
        <w:right w:val="none" w:sz="0" w:space="0" w:color="auto"/>
      </w:divBdr>
      <w:divsChild>
        <w:div w:id="40205118">
          <w:marLeft w:val="0"/>
          <w:marRight w:val="0"/>
          <w:marTop w:val="0"/>
          <w:marBottom w:val="0"/>
          <w:divBdr>
            <w:top w:val="none" w:sz="0" w:space="0" w:color="auto"/>
            <w:left w:val="none" w:sz="0" w:space="0" w:color="auto"/>
            <w:bottom w:val="none" w:sz="0" w:space="0" w:color="auto"/>
            <w:right w:val="none" w:sz="0" w:space="0" w:color="auto"/>
          </w:divBdr>
          <w:divsChild>
            <w:div w:id="9311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00265">
      <w:bodyDiv w:val="1"/>
      <w:marLeft w:val="0"/>
      <w:marRight w:val="0"/>
      <w:marTop w:val="0"/>
      <w:marBottom w:val="0"/>
      <w:divBdr>
        <w:top w:val="none" w:sz="0" w:space="0" w:color="auto"/>
        <w:left w:val="none" w:sz="0" w:space="0" w:color="auto"/>
        <w:bottom w:val="none" w:sz="0" w:space="0" w:color="auto"/>
        <w:right w:val="none" w:sz="0" w:space="0" w:color="auto"/>
      </w:divBdr>
      <w:divsChild>
        <w:div w:id="591816232">
          <w:marLeft w:val="0"/>
          <w:marRight w:val="0"/>
          <w:marTop w:val="0"/>
          <w:marBottom w:val="0"/>
          <w:divBdr>
            <w:top w:val="none" w:sz="0" w:space="0" w:color="auto"/>
            <w:left w:val="none" w:sz="0" w:space="0" w:color="auto"/>
            <w:bottom w:val="none" w:sz="0" w:space="0" w:color="auto"/>
            <w:right w:val="none" w:sz="0" w:space="0" w:color="auto"/>
          </w:divBdr>
          <w:divsChild>
            <w:div w:id="2478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91893">
      <w:bodyDiv w:val="1"/>
      <w:marLeft w:val="0"/>
      <w:marRight w:val="0"/>
      <w:marTop w:val="0"/>
      <w:marBottom w:val="0"/>
      <w:divBdr>
        <w:top w:val="none" w:sz="0" w:space="0" w:color="auto"/>
        <w:left w:val="none" w:sz="0" w:space="0" w:color="auto"/>
        <w:bottom w:val="none" w:sz="0" w:space="0" w:color="auto"/>
        <w:right w:val="none" w:sz="0" w:space="0" w:color="auto"/>
      </w:divBdr>
    </w:div>
    <w:div w:id="665936713">
      <w:bodyDiv w:val="1"/>
      <w:marLeft w:val="0"/>
      <w:marRight w:val="0"/>
      <w:marTop w:val="0"/>
      <w:marBottom w:val="0"/>
      <w:divBdr>
        <w:top w:val="none" w:sz="0" w:space="0" w:color="auto"/>
        <w:left w:val="none" w:sz="0" w:space="0" w:color="auto"/>
        <w:bottom w:val="none" w:sz="0" w:space="0" w:color="auto"/>
        <w:right w:val="none" w:sz="0" w:space="0" w:color="auto"/>
      </w:divBdr>
      <w:divsChild>
        <w:div w:id="288556634">
          <w:marLeft w:val="0"/>
          <w:marRight w:val="0"/>
          <w:marTop w:val="0"/>
          <w:marBottom w:val="0"/>
          <w:divBdr>
            <w:top w:val="none" w:sz="0" w:space="0" w:color="auto"/>
            <w:left w:val="none" w:sz="0" w:space="0" w:color="auto"/>
            <w:bottom w:val="none" w:sz="0" w:space="0" w:color="auto"/>
            <w:right w:val="none" w:sz="0" w:space="0" w:color="auto"/>
          </w:divBdr>
          <w:divsChild>
            <w:div w:id="146796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3430">
      <w:bodyDiv w:val="1"/>
      <w:marLeft w:val="0"/>
      <w:marRight w:val="0"/>
      <w:marTop w:val="0"/>
      <w:marBottom w:val="0"/>
      <w:divBdr>
        <w:top w:val="none" w:sz="0" w:space="0" w:color="auto"/>
        <w:left w:val="none" w:sz="0" w:space="0" w:color="auto"/>
        <w:bottom w:val="none" w:sz="0" w:space="0" w:color="auto"/>
        <w:right w:val="none" w:sz="0" w:space="0" w:color="auto"/>
      </w:divBdr>
    </w:div>
    <w:div w:id="800659728">
      <w:bodyDiv w:val="1"/>
      <w:marLeft w:val="0"/>
      <w:marRight w:val="0"/>
      <w:marTop w:val="0"/>
      <w:marBottom w:val="0"/>
      <w:divBdr>
        <w:top w:val="none" w:sz="0" w:space="0" w:color="auto"/>
        <w:left w:val="none" w:sz="0" w:space="0" w:color="auto"/>
        <w:bottom w:val="none" w:sz="0" w:space="0" w:color="auto"/>
        <w:right w:val="none" w:sz="0" w:space="0" w:color="auto"/>
      </w:divBdr>
    </w:div>
    <w:div w:id="807361201">
      <w:bodyDiv w:val="1"/>
      <w:marLeft w:val="0"/>
      <w:marRight w:val="0"/>
      <w:marTop w:val="0"/>
      <w:marBottom w:val="0"/>
      <w:divBdr>
        <w:top w:val="none" w:sz="0" w:space="0" w:color="auto"/>
        <w:left w:val="none" w:sz="0" w:space="0" w:color="auto"/>
        <w:bottom w:val="none" w:sz="0" w:space="0" w:color="auto"/>
        <w:right w:val="none" w:sz="0" w:space="0" w:color="auto"/>
      </w:divBdr>
    </w:div>
    <w:div w:id="822936509">
      <w:bodyDiv w:val="1"/>
      <w:marLeft w:val="0"/>
      <w:marRight w:val="0"/>
      <w:marTop w:val="0"/>
      <w:marBottom w:val="0"/>
      <w:divBdr>
        <w:top w:val="none" w:sz="0" w:space="0" w:color="auto"/>
        <w:left w:val="none" w:sz="0" w:space="0" w:color="auto"/>
        <w:bottom w:val="none" w:sz="0" w:space="0" w:color="auto"/>
        <w:right w:val="none" w:sz="0" w:space="0" w:color="auto"/>
      </w:divBdr>
    </w:div>
    <w:div w:id="938490981">
      <w:bodyDiv w:val="1"/>
      <w:marLeft w:val="0"/>
      <w:marRight w:val="0"/>
      <w:marTop w:val="0"/>
      <w:marBottom w:val="0"/>
      <w:divBdr>
        <w:top w:val="none" w:sz="0" w:space="0" w:color="auto"/>
        <w:left w:val="none" w:sz="0" w:space="0" w:color="auto"/>
        <w:bottom w:val="none" w:sz="0" w:space="0" w:color="auto"/>
        <w:right w:val="none" w:sz="0" w:space="0" w:color="auto"/>
      </w:divBdr>
    </w:div>
    <w:div w:id="963540126">
      <w:bodyDiv w:val="1"/>
      <w:marLeft w:val="0"/>
      <w:marRight w:val="0"/>
      <w:marTop w:val="0"/>
      <w:marBottom w:val="0"/>
      <w:divBdr>
        <w:top w:val="none" w:sz="0" w:space="0" w:color="auto"/>
        <w:left w:val="none" w:sz="0" w:space="0" w:color="auto"/>
        <w:bottom w:val="none" w:sz="0" w:space="0" w:color="auto"/>
        <w:right w:val="none" w:sz="0" w:space="0" w:color="auto"/>
      </w:divBdr>
    </w:div>
    <w:div w:id="1141459660">
      <w:bodyDiv w:val="1"/>
      <w:marLeft w:val="0"/>
      <w:marRight w:val="0"/>
      <w:marTop w:val="0"/>
      <w:marBottom w:val="0"/>
      <w:divBdr>
        <w:top w:val="none" w:sz="0" w:space="0" w:color="auto"/>
        <w:left w:val="none" w:sz="0" w:space="0" w:color="auto"/>
        <w:bottom w:val="none" w:sz="0" w:space="0" w:color="auto"/>
        <w:right w:val="none" w:sz="0" w:space="0" w:color="auto"/>
      </w:divBdr>
    </w:div>
    <w:div w:id="1198004703">
      <w:bodyDiv w:val="1"/>
      <w:marLeft w:val="0"/>
      <w:marRight w:val="0"/>
      <w:marTop w:val="0"/>
      <w:marBottom w:val="0"/>
      <w:divBdr>
        <w:top w:val="none" w:sz="0" w:space="0" w:color="auto"/>
        <w:left w:val="none" w:sz="0" w:space="0" w:color="auto"/>
        <w:bottom w:val="none" w:sz="0" w:space="0" w:color="auto"/>
        <w:right w:val="none" w:sz="0" w:space="0" w:color="auto"/>
      </w:divBdr>
    </w:div>
    <w:div w:id="1556354323">
      <w:bodyDiv w:val="1"/>
      <w:marLeft w:val="0"/>
      <w:marRight w:val="0"/>
      <w:marTop w:val="0"/>
      <w:marBottom w:val="0"/>
      <w:divBdr>
        <w:top w:val="none" w:sz="0" w:space="0" w:color="auto"/>
        <w:left w:val="none" w:sz="0" w:space="0" w:color="auto"/>
        <w:bottom w:val="none" w:sz="0" w:space="0" w:color="auto"/>
        <w:right w:val="none" w:sz="0" w:space="0" w:color="auto"/>
      </w:divBdr>
    </w:div>
    <w:div w:id="1846285172">
      <w:bodyDiv w:val="1"/>
      <w:marLeft w:val="0"/>
      <w:marRight w:val="0"/>
      <w:marTop w:val="0"/>
      <w:marBottom w:val="0"/>
      <w:divBdr>
        <w:top w:val="none" w:sz="0" w:space="0" w:color="auto"/>
        <w:left w:val="none" w:sz="0" w:space="0" w:color="auto"/>
        <w:bottom w:val="none" w:sz="0" w:space="0" w:color="auto"/>
        <w:right w:val="none" w:sz="0" w:space="0" w:color="auto"/>
      </w:divBdr>
      <w:divsChild>
        <w:div w:id="356010232">
          <w:marLeft w:val="0"/>
          <w:marRight w:val="0"/>
          <w:marTop w:val="0"/>
          <w:marBottom w:val="0"/>
          <w:divBdr>
            <w:top w:val="none" w:sz="0" w:space="0" w:color="auto"/>
            <w:left w:val="none" w:sz="0" w:space="0" w:color="auto"/>
            <w:bottom w:val="none" w:sz="0" w:space="0" w:color="auto"/>
            <w:right w:val="none" w:sz="0" w:space="0" w:color="auto"/>
          </w:divBdr>
          <w:divsChild>
            <w:div w:id="823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25874">
      <w:bodyDiv w:val="1"/>
      <w:marLeft w:val="0"/>
      <w:marRight w:val="0"/>
      <w:marTop w:val="0"/>
      <w:marBottom w:val="0"/>
      <w:divBdr>
        <w:top w:val="none" w:sz="0" w:space="0" w:color="auto"/>
        <w:left w:val="none" w:sz="0" w:space="0" w:color="auto"/>
        <w:bottom w:val="none" w:sz="0" w:space="0" w:color="auto"/>
        <w:right w:val="none" w:sz="0" w:space="0" w:color="auto"/>
      </w:divBdr>
    </w:div>
    <w:div w:id="1993095177">
      <w:bodyDiv w:val="1"/>
      <w:marLeft w:val="0"/>
      <w:marRight w:val="0"/>
      <w:marTop w:val="0"/>
      <w:marBottom w:val="0"/>
      <w:divBdr>
        <w:top w:val="none" w:sz="0" w:space="0" w:color="auto"/>
        <w:left w:val="none" w:sz="0" w:space="0" w:color="auto"/>
        <w:bottom w:val="none" w:sz="0" w:space="0" w:color="auto"/>
        <w:right w:val="none" w:sz="0" w:space="0" w:color="auto"/>
      </w:divBdr>
    </w:div>
    <w:div w:id="2131587671">
      <w:bodyDiv w:val="1"/>
      <w:marLeft w:val="0"/>
      <w:marRight w:val="0"/>
      <w:marTop w:val="0"/>
      <w:marBottom w:val="0"/>
      <w:divBdr>
        <w:top w:val="none" w:sz="0" w:space="0" w:color="auto"/>
        <w:left w:val="none" w:sz="0" w:space="0" w:color="auto"/>
        <w:bottom w:val="none" w:sz="0" w:space="0" w:color="auto"/>
        <w:right w:val="none" w:sz="0" w:space="0" w:color="auto"/>
      </w:divBdr>
      <w:divsChild>
        <w:div w:id="2017876311">
          <w:marLeft w:val="0"/>
          <w:marRight w:val="0"/>
          <w:marTop w:val="0"/>
          <w:marBottom w:val="0"/>
          <w:divBdr>
            <w:top w:val="none" w:sz="0" w:space="0" w:color="auto"/>
            <w:left w:val="none" w:sz="0" w:space="0" w:color="auto"/>
            <w:bottom w:val="none" w:sz="0" w:space="0" w:color="auto"/>
            <w:right w:val="none" w:sz="0" w:space="0" w:color="auto"/>
          </w:divBdr>
          <w:divsChild>
            <w:div w:id="4151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2214</Words>
  <Characters>12620</Characters>
  <Application>Microsoft Office Word</Application>
  <DocSecurity>0</DocSecurity>
  <Lines>105</Lines>
  <Paragraphs>29</Paragraphs>
  <ScaleCrop>false</ScaleCrop>
  <Company/>
  <LinksUpToDate>false</LinksUpToDate>
  <CharactersWithSpaces>14805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Eid, Amira</dc:creator>
  <cp:keywords/>
  <dc:description/>
  <cp:lastModifiedBy>Eid, Amira</cp:lastModifiedBy>
  <cp:revision>2</cp:revision>
  <dcterms:created xsi:type="dcterms:W3CDTF">2025-05-10T04:52:00Z</dcterms:created>
  <dcterms:modified xsi:type="dcterms:W3CDTF">2025-05-10T04:52:00Z</dcterms:modified>
</cp:coreProperties>
</file>