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972100">
      <w:pPr>
        <w:spacing w:after="80"/>
        <w:jc w:val="center"/>
        <w:rPr>
          <w:b/>
          <w:bCs/>
          <w:color w:val="FFFFFF"/>
          <w:sz w:val="52"/>
          <w:szCs w:val="52"/>
        </w:rPr>
      </w:pPr>
    </w:p>
    <w:p w14:paraId="3F4D5ECD">
      <w:pPr>
        <w:spacing w:after="80"/>
        <w:jc w:val="center"/>
        <w:rPr>
          <w:b/>
          <w:bCs/>
          <w:color w:val="FFFFFF"/>
          <w:sz w:val="52"/>
          <w:szCs w:val="52"/>
        </w:rPr>
      </w:pPr>
      <w:bookmarkStart w:id="0" w:name="_GoBack"/>
      <w:bookmarkEnd w:id="0"/>
    </w:p>
    <w:p w14:paraId="581FC40C">
      <w:pPr>
        <w:spacing w:after="80"/>
        <w:jc w:val="center"/>
        <w:rPr>
          <w:b/>
          <w:bCs/>
          <w:color w:val="FFFFFF"/>
          <w:sz w:val="52"/>
          <w:szCs w:val="52"/>
        </w:rPr>
      </w:pPr>
    </w:p>
    <w:p w14:paraId="3A03147D">
      <w:pPr>
        <w:spacing w:after="80"/>
        <w:jc w:val="center"/>
        <w:rPr>
          <w:b/>
          <w:bCs/>
          <w:color w:val="FFFFFF"/>
          <w:sz w:val="52"/>
          <w:szCs w:val="52"/>
        </w:rPr>
      </w:pPr>
    </w:p>
    <w:p w14:paraId="7FF76439">
      <w:pPr>
        <w:spacing w:after="80"/>
        <w:jc w:val="center"/>
        <w:rPr>
          <w:b/>
          <w:bCs/>
          <w:color w:val="FFFFFF"/>
          <w:sz w:val="52"/>
          <w:szCs w:val="52"/>
        </w:rPr>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4CB9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360" w:type="dxa"/>
            <w:tcBorders>
              <w:top w:val="nil"/>
              <w:left w:val="nil"/>
              <w:bottom w:val="nil"/>
              <w:right w:val="nil"/>
            </w:tcBorders>
            <w:shd w:val="clear" w:color="auto" w:fill="1F3864"/>
            <w:tcMar>
              <w:top w:w="600" w:type="dxa"/>
              <w:left w:w="400" w:type="dxa"/>
              <w:bottom w:w="400" w:type="dxa"/>
              <w:right w:w="400" w:type="dxa"/>
            </w:tcMar>
          </w:tcPr>
          <w:p w14:paraId="33319822">
            <w:pPr>
              <w:spacing w:after="80"/>
              <w:ind w:firstLine="1821" w:firstLineChars="350"/>
              <w:jc w:val="both"/>
            </w:pPr>
            <w:r>
              <w:rPr>
                <w:b/>
                <w:bCs/>
                <w:color w:val="FFFFFF"/>
                <w:sz w:val="52"/>
                <w:szCs w:val="52"/>
              </w:rPr>
              <w:t>PROJECT REPORT</w:t>
            </w:r>
          </w:p>
          <w:p w14:paraId="463F2317">
            <w:pPr>
              <w:spacing w:after="60"/>
              <w:jc w:val="center"/>
            </w:pPr>
            <w:r>
              <w:rPr>
                <w:i/>
                <w:iCs/>
                <w:color w:val="C5D8F5"/>
                <w:sz w:val="30"/>
                <w:szCs w:val="30"/>
              </w:rPr>
              <w:t>Parallel and Distributed Computing</w:t>
            </w:r>
          </w:p>
        </w:tc>
      </w:tr>
      <w:tr w14:paraId="0F42B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nil"/>
              <w:left w:val="nil"/>
              <w:bottom w:val="nil"/>
              <w:right w:val="nil"/>
            </w:tcBorders>
            <w:shd w:val="clear" w:color="auto" w:fill="2E5D9E"/>
            <w:tcMar>
              <w:top w:w="200" w:type="dxa"/>
              <w:left w:w="400" w:type="dxa"/>
              <w:bottom w:w="200" w:type="dxa"/>
              <w:right w:w="400" w:type="dxa"/>
            </w:tcMar>
          </w:tcPr>
          <w:p w14:paraId="7D3E9519">
            <w:pPr>
              <w:jc w:val="center"/>
            </w:pPr>
            <w:r>
              <w:rPr>
                <w:b/>
                <w:bCs/>
                <w:color w:val="FFFFFF"/>
                <w:sz w:val="26"/>
                <w:szCs w:val="26"/>
              </w:rPr>
              <w:t>Pakistan Energy Access Survey Analysis using PySpark</w:t>
            </w:r>
          </w:p>
          <w:p w14:paraId="4468E2D5">
            <w:pPr>
              <w:spacing w:before="80"/>
              <w:jc w:val="center"/>
            </w:pPr>
            <w:r>
              <w:rPr>
                <w:i/>
                <w:iCs/>
                <w:color w:val="D6E4F7"/>
              </w:rPr>
              <w:t>ETL + Benchmarking + Visual Analytics</w:t>
            </w:r>
          </w:p>
        </w:tc>
      </w:tr>
    </w:tbl>
    <w:p w14:paraId="7382BE76">
      <w:pPr>
        <w:spacing w:before="200" w:after="20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5D6F946E">
        <w:tblPrEx>
          <w:tblCellMar>
            <w:top w:w="0" w:type="dxa"/>
            <w:left w:w="10" w:type="dxa"/>
            <w:bottom w:w="0" w:type="dxa"/>
            <w:right w:w="10" w:type="dxa"/>
          </w:tblCellMar>
        </w:tblPrEx>
        <w:trPr>
          <w:jc w:val="center"/>
        </w:trPr>
        <w:tc>
          <w:tcPr>
            <w:tcW w:w="2200" w:type="dxa"/>
            <w:tcBorders>
              <w:top w:val="single" w:color="B8C9E1" w:sz="0" w:space="0"/>
              <w:left w:val="single" w:color="B8C9E1" w:sz="0" w:space="0"/>
              <w:bottom w:val="single" w:color="B8C9E1" w:sz="0" w:space="0"/>
              <w:right w:val="single" w:color="B8C9E1" w:sz="0" w:space="0"/>
            </w:tcBorders>
            <w:shd w:val="clear" w:color="auto" w:fill="2E5D9E"/>
            <w:tcMar>
              <w:top w:w="100" w:type="dxa"/>
              <w:left w:w="140" w:type="dxa"/>
              <w:bottom w:w="100" w:type="dxa"/>
              <w:right w:w="140" w:type="dxa"/>
            </w:tcMar>
            <w:vAlign w:val="center"/>
          </w:tcPr>
          <w:p w14:paraId="203922EC">
            <w:pPr>
              <w:jc w:val="center"/>
            </w:pPr>
            <w:r>
              <w:rPr>
                <w:b/>
                <w:bCs/>
                <w:color w:val="FFFFFF"/>
                <w:sz w:val="20"/>
                <w:szCs w:val="20"/>
              </w:rPr>
              <w:t>Field</w:t>
            </w:r>
          </w:p>
        </w:tc>
        <w:tc>
          <w:tcPr>
            <w:tcW w:w="7160" w:type="dxa"/>
            <w:tcBorders>
              <w:top w:val="single" w:color="B8C9E1" w:sz="0" w:space="0"/>
              <w:left w:val="single" w:color="B8C9E1" w:sz="0" w:space="0"/>
              <w:bottom w:val="single" w:color="B8C9E1" w:sz="0" w:space="0"/>
              <w:right w:val="single" w:color="B8C9E1" w:sz="0" w:space="0"/>
            </w:tcBorders>
            <w:shd w:val="clear" w:color="auto" w:fill="2E5D9E"/>
            <w:tcMar>
              <w:top w:w="100" w:type="dxa"/>
              <w:left w:w="140" w:type="dxa"/>
              <w:bottom w:w="100" w:type="dxa"/>
              <w:right w:w="140" w:type="dxa"/>
            </w:tcMar>
            <w:vAlign w:val="center"/>
          </w:tcPr>
          <w:p w14:paraId="7FEB457A">
            <w:pPr>
              <w:jc w:val="center"/>
            </w:pPr>
            <w:r>
              <w:rPr>
                <w:b/>
                <w:bCs/>
                <w:color w:val="FFFFFF"/>
                <w:sz w:val="20"/>
                <w:szCs w:val="20"/>
              </w:rPr>
              <w:t>Details</w:t>
            </w:r>
          </w:p>
        </w:tc>
      </w:tr>
      <w:tr w14:paraId="18C14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B8C9E1" w:sz="0" w:space="0"/>
              <w:left w:val="single" w:color="B8C9E1" w:sz="0" w:space="0"/>
              <w:bottom w:val="single" w:color="B8C9E1" w:sz="0" w:space="0"/>
              <w:right w:val="single" w:color="B8C9E1" w:sz="0" w:space="0"/>
            </w:tcBorders>
            <w:shd w:val="clear" w:color="auto" w:fill="FFFFFF"/>
            <w:tcMar>
              <w:top w:w="80" w:type="dxa"/>
              <w:left w:w="140" w:type="dxa"/>
              <w:bottom w:w="80" w:type="dxa"/>
              <w:right w:w="140" w:type="dxa"/>
            </w:tcMar>
            <w:vAlign w:val="center"/>
          </w:tcPr>
          <w:p w14:paraId="253FA52E">
            <w:r>
              <w:rPr>
                <w:b/>
                <w:bCs/>
                <w:sz w:val="20"/>
                <w:szCs w:val="20"/>
              </w:rPr>
              <w:t>Group Members</w:t>
            </w:r>
          </w:p>
        </w:tc>
        <w:tc>
          <w:tcPr>
            <w:tcW w:w="7160" w:type="dxa"/>
            <w:tcBorders>
              <w:top w:val="single" w:color="B8C9E1" w:sz="0" w:space="0"/>
              <w:left w:val="single" w:color="B8C9E1" w:sz="0" w:space="0"/>
              <w:bottom w:val="single" w:color="B8C9E1" w:sz="0" w:space="0"/>
              <w:right w:val="single" w:color="B8C9E1" w:sz="0" w:space="0"/>
            </w:tcBorders>
            <w:shd w:val="clear" w:color="auto" w:fill="FFFFFF"/>
            <w:tcMar>
              <w:top w:w="80" w:type="dxa"/>
              <w:left w:w="140" w:type="dxa"/>
              <w:bottom w:w="80" w:type="dxa"/>
              <w:right w:w="140" w:type="dxa"/>
            </w:tcMar>
            <w:vAlign w:val="center"/>
          </w:tcPr>
          <w:p w14:paraId="3D3D2C65">
            <w:r>
              <w:rPr>
                <w:sz w:val="20"/>
                <w:szCs w:val="20"/>
              </w:rPr>
              <w:t>Insa Saleem – 043  |  Isra Asif – 045  |  Maria Yasmeen – 059</w:t>
            </w:r>
          </w:p>
        </w:tc>
      </w:tr>
      <w:tr w14:paraId="64841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B8C9E1" w:sz="0" w:space="0"/>
              <w:left w:val="single" w:color="B8C9E1" w:sz="0" w:space="0"/>
              <w:bottom w:val="single" w:color="B8C9E1" w:sz="0" w:space="0"/>
              <w:right w:val="single" w:color="B8C9E1" w:sz="0" w:space="0"/>
            </w:tcBorders>
            <w:shd w:val="clear" w:color="auto" w:fill="F2F6FC"/>
            <w:tcMar>
              <w:top w:w="80" w:type="dxa"/>
              <w:left w:w="140" w:type="dxa"/>
              <w:bottom w:w="80" w:type="dxa"/>
              <w:right w:w="140" w:type="dxa"/>
            </w:tcMar>
            <w:vAlign w:val="center"/>
          </w:tcPr>
          <w:p w14:paraId="43665891">
            <w:r>
              <w:rPr>
                <w:b/>
                <w:bCs/>
                <w:sz w:val="20"/>
                <w:szCs w:val="20"/>
              </w:rPr>
              <w:t>Submitted To</w:t>
            </w:r>
          </w:p>
        </w:tc>
        <w:tc>
          <w:tcPr>
            <w:tcW w:w="7160" w:type="dxa"/>
            <w:tcBorders>
              <w:top w:val="single" w:color="B8C9E1" w:sz="0" w:space="0"/>
              <w:left w:val="single" w:color="B8C9E1" w:sz="0" w:space="0"/>
              <w:bottom w:val="single" w:color="B8C9E1" w:sz="0" w:space="0"/>
              <w:right w:val="single" w:color="B8C9E1" w:sz="0" w:space="0"/>
            </w:tcBorders>
            <w:shd w:val="clear" w:color="auto" w:fill="F2F6FC"/>
            <w:tcMar>
              <w:top w:w="80" w:type="dxa"/>
              <w:left w:w="140" w:type="dxa"/>
              <w:bottom w:w="80" w:type="dxa"/>
              <w:right w:w="140" w:type="dxa"/>
            </w:tcMar>
            <w:vAlign w:val="center"/>
          </w:tcPr>
          <w:p w14:paraId="7057C431">
            <w:r>
              <w:rPr>
                <w:sz w:val="20"/>
                <w:szCs w:val="20"/>
              </w:rPr>
              <w:t>Mam Madiha Wahid</w:t>
            </w:r>
          </w:p>
        </w:tc>
      </w:tr>
      <w:tr w14:paraId="3F232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B8C9E1" w:sz="0" w:space="0"/>
              <w:left w:val="single" w:color="B8C9E1" w:sz="0" w:space="0"/>
              <w:bottom w:val="single" w:color="B8C9E1" w:sz="0" w:space="0"/>
              <w:right w:val="single" w:color="B8C9E1" w:sz="0" w:space="0"/>
            </w:tcBorders>
            <w:shd w:val="clear" w:color="auto" w:fill="FFFFFF"/>
            <w:tcMar>
              <w:top w:w="80" w:type="dxa"/>
              <w:left w:w="140" w:type="dxa"/>
              <w:bottom w:w="80" w:type="dxa"/>
              <w:right w:w="140" w:type="dxa"/>
            </w:tcMar>
            <w:vAlign w:val="center"/>
          </w:tcPr>
          <w:p w14:paraId="01121DE8">
            <w:r>
              <w:rPr>
                <w:b/>
                <w:bCs/>
                <w:sz w:val="20"/>
                <w:szCs w:val="20"/>
              </w:rPr>
              <w:t>Tools</w:t>
            </w:r>
          </w:p>
        </w:tc>
        <w:tc>
          <w:tcPr>
            <w:tcW w:w="7160" w:type="dxa"/>
            <w:tcBorders>
              <w:top w:val="single" w:color="B8C9E1" w:sz="0" w:space="0"/>
              <w:left w:val="single" w:color="B8C9E1" w:sz="0" w:space="0"/>
              <w:bottom w:val="single" w:color="B8C9E1" w:sz="0" w:space="0"/>
              <w:right w:val="single" w:color="B8C9E1" w:sz="0" w:space="0"/>
            </w:tcBorders>
            <w:shd w:val="clear" w:color="auto" w:fill="FFFFFF"/>
            <w:tcMar>
              <w:top w:w="80" w:type="dxa"/>
              <w:left w:w="140" w:type="dxa"/>
              <w:bottom w:w="80" w:type="dxa"/>
              <w:right w:w="140" w:type="dxa"/>
            </w:tcMar>
            <w:vAlign w:val="center"/>
          </w:tcPr>
          <w:p w14:paraId="739712A2">
            <w:r>
              <w:rPr>
                <w:sz w:val="20"/>
                <w:szCs w:val="20"/>
              </w:rPr>
              <w:t>PySpark, Spark SQL, Python, Matplotlib, Jupyter / VS Code</w:t>
            </w:r>
          </w:p>
        </w:tc>
      </w:tr>
      <w:tr w14:paraId="4B023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B8C9E1" w:sz="0" w:space="0"/>
              <w:left w:val="single" w:color="B8C9E1" w:sz="0" w:space="0"/>
              <w:bottom w:val="single" w:color="B8C9E1" w:sz="0" w:space="0"/>
              <w:right w:val="single" w:color="B8C9E1" w:sz="0" w:space="0"/>
            </w:tcBorders>
            <w:shd w:val="clear" w:color="auto" w:fill="F2F6FC"/>
            <w:tcMar>
              <w:top w:w="80" w:type="dxa"/>
              <w:left w:w="140" w:type="dxa"/>
              <w:bottom w:w="80" w:type="dxa"/>
              <w:right w:w="140" w:type="dxa"/>
            </w:tcMar>
            <w:vAlign w:val="center"/>
          </w:tcPr>
          <w:p w14:paraId="2C0F875F">
            <w:r>
              <w:rPr>
                <w:b/>
                <w:bCs/>
                <w:sz w:val="20"/>
                <w:szCs w:val="20"/>
              </w:rPr>
              <w:t>Outputs</w:t>
            </w:r>
          </w:p>
        </w:tc>
        <w:tc>
          <w:tcPr>
            <w:tcW w:w="7160" w:type="dxa"/>
            <w:tcBorders>
              <w:top w:val="single" w:color="B8C9E1" w:sz="0" w:space="0"/>
              <w:left w:val="single" w:color="B8C9E1" w:sz="0" w:space="0"/>
              <w:bottom w:val="single" w:color="B8C9E1" w:sz="0" w:space="0"/>
              <w:right w:val="single" w:color="B8C9E1" w:sz="0" w:space="0"/>
            </w:tcBorders>
            <w:shd w:val="clear" w:color="auto" w:fill="F2F6FC"/>
            <w:tcMar>
              <w:top w:w="80" w:type="dxa"/>
              <w:left w:w="140" w:type="dxa"/>
              <w:bottom w:w="80" w:type="dxa"/>
              <w:right w:w="140" w:type="dxa"/>
            </w:tcMar>
            <w:vAlign w:val="center"/>
          </w:tcPr>
          <w:p w14:paraId="34B1AA87">
            <w:r>
              <w:rPr>
                <w:sz w:val="20"/>
                <w:szCs w:val="20"/>
              </w:rPr>
              <w:t>CSV + JSONL exports, JPG graphs in etl_output/plots/jpg/</w:t>
            </w:r>
          </w:p>
        </w:tc>
      </w:tr>
    </w:tbl>
    <w:p w14:paraId="45109685">
      <w:r>
        <w:br w:type="page"/>
      </w:r>
    </w:p>
    <w:p w14:paraId="73B791B4">
      <w:pPr>
        <w:pStyle w:val="2"/>
      </w:pPr>
    </w:p>
    <w:p w14:paraId="297D5AFC">
      <w:pPr>
        <w:pStyle w:val="2"/>
      </w:pPr>
      <w:r>
        <w:t>1. Introduction</w:t>
      </w:r>
    </w:p>
    <w:p w14:paraId="22D5CEAF">
      <w:pPr>
        <w:pBdr>
          <w:bottom w:val="single" w:color="2E75B6" w:sz="6" w:space="1"/>
        </w:pBdr>
      </w:pPr>
    </w:p>
    <w:p w14:paraId="48DE2CAD">
      <w:pPr>
        <w:spacing w:before="60" w:after="60"/>
      </w:pPr>
    </w:p>
    <w:p w14:paraId="72C61486">
      <w:pPr>
        <w:pStyle w:val="3"/>
      </w:pPr>
      <w:r>
        <w:t>1.1 Motivation</w:t>
      </w:r>
    </w:p>
    <w:p w14:paraId="11596EA8">
      <w:pPr>
        <w:spacing w:before="60" w:after="60"/>
        <w:jc w:val="both"/>
      </w:pPr>
      <w:r>
        <w:t>Energy access is a critical development indicator affecting quality of life, productivity, education, and health. Analyzing household survey data at scale presents several challenges:</w:t>
      </w:r>
    </w:p>
    <w:p w14:paraId="2FF2C23F">
      <w:pPr>
        <w:pStyle w:val="21"/>
        <w:numPr>
          <w:ilvl w:val="0"/>
          <w:numId w:val="1"/>
        </w:numPr>
        <w:spacing w:before="40" w:after="40"/>
        <w:jc w:val="both"/>
      </w:pPr>
      <w:r>
        <w:t>Survey datasets are large and messy, containing missing values, inconsistent categories, and mixed data types.</w:t>
      </w:r>
    </w:p>
    <w:p w14:paraId="44C14153">
      <w:pPr>
        <w:pStyle w:val="21"/>
        <w:numPr>
          <w:ilvl w:val="0"/>
          <w:numId w:val="1"/>
        </w:numPr>
        <w:spacing w:before="40" w:after="40"/>
        <w:jc w:val="both"/>
      </w:pPr>
      <w:r>
        <w:t>Scalable processing frameworks such as Apache Spark are required for efficient computation.</w:t>
      </w:r>
    </w:p>
    <w:p w14:paraId="3F9767F8">
      <w:pPr>
        <w:pStyle w:val="21"/>
        <w:numPr>
          <w:ilvl w:val="0"/>
          <w:numId w:val="1"/>
        </w:numPr>
        <w:spacing w:before="40" w:after="40"/>
        <w:jc w:val="both"/>
      </w:pPr>
      <w:r>
        <w:t>Result correctness must be validated across multiple query interfaces (SQL vs. DataFrame).</w:t>
      </w:r>
    </w:p>
    <w:p w14:paraId="0BEDCA78">
      <w:pPr>
        <w:pStyle w:val="21"/>
        <w:numPr>
          <w:ilvl w:val="0"/>
          <w:numId w:val="1"/>
        </w:numPr>
        <w:spacing w:before="40" w:after="40"/>
        <w:jc w:val="both"/>
      </w:pPr>
      <w:r>
        <w:t>Meaningful analytics depend on clean, filtered data and informative visual representations.</w:t>
      </w:r>
    </w:p>
    <w:p w14:paraId="63CA3C36">
      <w:pPr>
        <w:spacing w:before="120" w:after="120"/>
        <w:jc w:val="both"/>
      </w:pPr>
    </w:p>
    <w:p w14:paraId="375551D8">
      <w:pPr>
        <w:pStyle w:val="3"/>
      </w:pPr>
      <w:r>
        <w:t>1.2 Problem Statement</w:t>
      </w:r>
    </w:p>
    <w:p w14:paraId="0BC1DE9C">
      <w:pPr>
        <w:spacing w:before="60" w:after="60"/>
        <w:jc w:val="both"/>
      </w:pPr>
      <w:r>
        <w:t>Given a large-scale household energy access survey dataset, this project addresses the following objectives:</w:t>
      </w:r>
    </w:p>
    <w:p w14:paraId="4D207D06">
      <w:pPr>
        <w:pStyle w:val="21"/>
        <w:numPr>
          <w:ilvl w:val="0"/>
          <w:numId w:val="2"/>
        </w:numPr>
        <w:spacing w:before="40" w:after="40"/>
      </w:pPr>
      <w:r>
        <w:t>Build a clean, robust ETL pipeline using PySpark.</w:t>
      </w:r>
    </w:p>
    <w:p w14:paraId="16BFE044">
      <w:pPr>
        <w:pStyle w:val="21"/>
        <w:numPr>
          <w:ilvl w:val="0"/>
          <w:numId w:val="2"/>
        </w:numPr>
        <w:spacing w:before="40" w:after="40"/>
      </w:pPr>
      <w:r>
        <w:t>Validate equivalence between Spark SQL and Spark DataFrame query results.</w:t>
      </w:r>
    </w:p>
    <w:p w14:paraId="3C06AB3B">
      <w:pPr>
        <w:pStyle w:val="21"/>
        <w:numPr>
          <w:ilvl w:val="0"/>
          <w:numId w:val="2"/>
        </w:numPr>
        <w:spacing w:before="40" w:after="40"/>
      </w:pPr>
      <w:r>
        <w:t>Benchmark Spark against a pure Python baseline across varying dataset sizes.</w:t>
      </w:r>
    </w:p>
    <w:p w14:paraId="7479094F">
      <w:pPr>
        <w:pStyle w:val="21"/>
        <w:numPr>
          <w:ilvl w:val="0"/>
          <w:numId w:val="2"/>
        </w:numPr>
        <w:spacing w:before="40" w:after="40"/>
      </w:pPr>
      <w:r>
        <w:t>Generate diverse analytical visualizations using only validated, non-null data.</w:t>
      </w:r>
    </w:p>
    <w:p w14:paraId="3CFFA1AB"/>
    <w:p w14:paraId="46AA01F4">
      <w:pPr>
        <w:pStyle w:val="2"/>
      </w:pPr>
      <w:r>
        <w:t>2. Dataset Overview</w:t>
      </w:r>
    </w:p>
    <w:p w14:paraId="01587EDA">
      <w:pPr>
        <w:pBdr>
          <w:bottom w:val="single" w:color="2E75B6" w:sz="6" w:space="1"/>
        </w:pBdr>
      </w:pPr>
    </w:p>
    <w:p w14:paraId="3B9C171E">
      <w:pPr>
        <w:spacing w:before="60" w:after="60"/>
      </w:pPr>
    </w:p>
    <w:p w14:paraId="634DB05A">
      <w:pPr>
        <w:spacing w:before="60" w:after="60"/>
        <w:jc w:val="both"/>
      </w:pPr>
      <w:r>
        <w:t>The dataset is the Pakistan Energy Access Household Panel Survey. It captures a wide range of socioeconomic and infrastructure indicators at the household level. The table below summarizes the key fields:</w:t>
      </w:r>
    </w:p>
    <w:p w14:paraId="2AB64B56">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3EE14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8C9E1" w:sz="0" w:space="0"/>
              <w:left w:val="single" w:color="B8C9E1" w:sz="0" w:space="0"/>
              <w:bottom w:val="single" w:color="B8C9E1" w:sz="0" w:space="0"/>
              <w:right w:val="single" w:color="B8C9E1" w:sz="0" w:space="0"/>
            </w:tcBorders>
            <w:shd w:val="clear" w:color="auto" w:fill="2E5D9E"/>
            <w:tcMar>
              <w:top w:w="100" w:type="dxa"/>
              <w:left w:w="140" w:type="dxa"/>
              <w:bottom w:w="100" w:type="dxa"/>
              <w:right w:w="140" w:type="dxa"/>
            </w:tcMar>
            <w:vAlign w:val="center"/>
          </w:tcPr>
          <w:p w14:paraId="2DDE258F">
            <w:pPr>
              <w:jc w:val="center"/>
            </w:pPr>
            <w:r>
              <w:rPr>
                <w:b/>
                <w:bCs/>
                <w:color w:val="FFFFFF"/>
                <w:sz w:val="20"/>
                <w:szCs w:val="20"/>
              </w:rPr>
              <w:t>Category</w:t>
            </w:r>
          </w:p>
        </w:tc>
        <w:tc>
          <w:tcPr>
            <w:tcW w:w="6560" w:type="dxa"/>
            <w:tcBorders>
              <w:top w:val="single" w:color="B8C9E1" w:sz="0" w:space="0"/>
              <w:left w:val="single" w:color="B8C9E1" w:sz="0" w:space="0"/>
              <w:bottom w:val="single" w:color="B8C9E1" w:sz="0" w:space="0"/>
              <w:right w:val="single" w:color="B8C9E1" w:sz="0" w:space="0"/>
            </w:tcBorders>
            <w:shd w:val="clear" w:color="auto" w:fill="2E5D9E"/>
            <w:tcMar>
              <w:top w:w="100" w:type="dxa"/>
              <w:left w:w="140" w:type="dxa"/>
              <w:bottom w:w="100" w:type="dxa"/>
              <w:right w:w="140" w:type="dxa"/>
            </w:tcMar>
            <w:vAlign w:val="center"/>
          </w:tcPr>
          <w:p w14:paraId="1B0C4F07">
            <w:pPr>
              <w:jc w:val="center"/>
            </w:pPr>
            <w:r>
              <w:rPr>
                <w:b/>
                <w:bCs/>
                <w:color w:val="FFFFFF"/>
                <w:sz w:val="20"/>
                <w:szCs w:val="20"/>
              </w:rPr>
              <w:t>Fields</w:t>
            </w:r>
          </w:p>
        </w:tc>
      </w:tr>
      <w:tr w14:paraId="7D4A2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8C9E1" w:sz="0" w:space="0"/>
              <w:left w:val="single" w:color="B8C9E1" w:sz="0" w:space="0"/>
              <w:bottom w:val="single" w:color="B8C9E1" w:sz="0" w:space="0"/>
              <w:right w:val="single" w:color="B8C9E1" w:sz="0" w:space="0"/>
            </w:tcBorders>
            <w:shd w:val="clear" w:color="auto" w:fill="F2F6FC"/>
            <w:tcMar>
              <w:top w:w="80" w:type="dxa"/>
              <w:left w:w="140" w:type="dxa"/>
              <w:bottom w:w="80" w:type="dxa"/>
              <w:right w:w="140" w:type="dxa"/>
            </w:tcMar>
            <w:vAlign w:val="center"/>
          </w:tcPr>
          <w:p w14:paraId="57A3AA43">
            <w:r>
              <w:rPr>
                <w:b/>
                <w:bCs/>
                <w:sz w:val="20"/>
                <w:szCs w:val="20"/>
              </w:rPr>
              <w:t>Geographic</w:t>
            </w:r>
          </w:p>
        </w:tc>
        <w:tc>
          <w:tcPr>
            <w:tcW w:w="6560" w:type="dxa"/>
            <w:tcBorders>
              <w:top w:val="single" w:color="B8C9E1" w:sz="0" w:space="0"/>
              <w:left w:val="single" w:color="B8C9E1" w:sz="0" w:space="0"/>
              <w:bottom w:val="single" w:color="B8C9E1" w:sz="0" w:space="0"/>
              <w:right w:val="single" w:color="B8C9E1" w:sz="0" w:space="0"/>
            </w:tcBorders>
            <w:shd w:val="clear" w:color="auto" w:fill="F2F6FC"/>
            <w:tcMar>
              <w:top w:w="80" w:type="dxa"/>
              <w:left w:w="140" w:type="dxa"/>
              <w:bottom w:w="80" w:type="dxa"/>
              <w:right w:w="140" w:type="dxa"/>
            </w:tcMar>
            <w:vAlign w:val="center"/>
          </w:tcPr>
          <w:p w14:paraId="675A47C1">
            <w:r>
              <w:rPr>
                <w:sz w:val="20"/>
                <w:szCs w:val="20"/>
              </w:rPr>
              <w:t>Region, District, Cultural Belt</w:t>
            </w:r>
          </w:p>
        </w:tc>
      </w:tr>
      <w:tr w14:paraId="42546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8C9E1" w:sz="0" w:space="0"/>
              <w:left w:val="single" w:color="B8C9E1" w:sz="0" w:space="0"/>
              <w:bottom w:val="single" w:color="B8C9E1" w:sz="0" w:space="0"/>
              <w:right w:val="single" w:color="B8C9E1" w:sz="0" w:space="0"/>
            </w:tcBorders>
            <w:shd w:val="clear" w:color="auto" w:fill="FFFFFF"/>
            <w:tcMar>
              <w:top w:w="80" w:type="dxa"/>
              <w:left w:w="140" w:type="dxa"/>
              <w:bottom w:w="80" w:type="dxa"/>
              <w:right w:w="140" w:type="dxa"/>
            </w:tcMar>
            <w:vAlign w:val="center"/>
          </w:tcPr>
          <w:p w14:paraId="551EC600">
            <w:r>
              <w:rPr>
                <w:b/>
                <w:bCs/>
                <w:sz w:val="20"/>
                <w:szCs w:val="20"/>
              </w:rPr>
              <w:t>Demographics</w:t>
            </w:r>
          </w:p>
        </w:tc>
        <w:tc>
          <w:tcPr>
            <w:tcW w:w="6560" w:type="dxa"/>
            <w:tcBorders>
              <w:top w:val="single" w:color="B8C9E1" w:sz="0" w:space="0"/>
              <w:left w:val="single" w:color="B8C9E1" w:sz="0" w:space="0"/>
              <w:bottom w:val="single" w:color="B8C9E1" w:sz="0" w:space="0"/>
              <w:right w:val="single" w:color="B8C9E1" w:sz="0" w:space="0"/>
            </w:tcBorders>
            <w:shd w:val="clear" w:color="auto" w:fill="FFFFFF"/>
            <w:tcMar>
              <w:top w:w="80" w:type="dxa"/>
              <w:left w:w="140" w:type="dxa"/>
              <w:bottom w:w="80" w:type="dxa"/>
              <w:right w:w="140" w:type="dxa"/>
            </w:tcMar>
            <w:vAlign w:val="center"/>
          </w:tcPr>
          <w:p w14:paraId="0C811641">
            <w:r>
              <w:rPr>
                <w:sz w:val="20"/>
                <w:szCs w:val="20"/>
              </w:rPr>
              <w:t>Gender, Household Size, Education of Head</w:t>
            </w:r>
          </w:p>
        </w:tc>
      </w:tr>
      <w:tr w14:paraId="17ADC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8C9E1" w:sz="0" w:space="0"/>
              <w:left w:val="single" w:color="B8C9E1" w:sz="0" w:space="0"/>
              <w:bottom w:val="single" w:color="B8C9E1" w:sz="0" w:space="0"/>
              <w:right w:val="single" w:color="B8C9E1" w:sz="0" w:space="0"/>
            </w:tcBorders>
            <w:shd w:val="clear" w:color="auto" w:fill="F2F6FC"/>
            <w:tcMar>
              <w:top w:w="80" w:type="dxa"/>
              <w:left w:w="140" w:type="dxa"/>
              <w:bottom w:w="80" w:type="dxa"/>
              <w:right w:w="140" w:type="dxa"/>
            </w:tcMar>
            <w:vAlign w:val="center"/>
          </w:tcPr>
          <w:p w14:paraId="576C3E57">
            <w:r>
              <w:rPr>
                <w:b/>
                <w:bCs/>
                <w:sz w:val="20"/>
                <w:szCs w:val="20"/>
              </w:rPr>
              <w:t>Housing</w:t>
            </w:r>
          </w:p>
        </w:tc>
        <w:tc>
          <w:tcPr>
            <w:tcW w:w="6560" w:type="dxa"/>
            <w:tcBorders>
              <w:top w:val="single" w:color="B8C9E1" w:sz="0" w:space="0"/>
              <w:left w:val="single" w:color="B8C9E1" w:sz="0" w:space="0"/>
              <w:bottom w:val="single" w:color="B8C9E1" w:sz="0" w:space="0"/>
              <w:right w:val="single" w:color="B8C9E1" w:sz="0" w:space="0"/>
            </w:tcBorders>
            <w:shd w:val="clear" w:color="auto" w:fill="F2F6FC"/>
            <w:tcMar>
              <w:top w:w="80" w:type="dxa"/>
              <w:left w:w="140" w:type="dxa"/>
              <w:bottom w:w="80" w:type="dxa"/>
              <w:right w:w="140" w:type="dxa"/>
            </w:tcMar>
            <w:vAlign w:val="center"/>
          </w:tcPr>
          <w:p w14:paraId="6D16C8D4">
            <w:r>
              <w:rPr>
                <w:sz w:val="20"/>
                <w:szCs w:val="20"/>
              </w:rPr>
              <w:t>Housing Type, Rooms, Rent vs Owned</w:t>
            </w:r>
          </w:p>
        </w:tc>
      </w:tr>
      <w:tr w14:paraId="368BB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8C9E1" w:sz="0" w:space="0"/>
              <w:left w:val="single" w:color="B8C9E1" w:sz="0" w:space="0"/>
              <w:bottom w:val="single" w:color="B8C9E1" w:sz="0" w:space="0"/>
              <w:right w:val="single" w:color="B8C9E1" w:sz="0" w:space="0"/>
            </w:tcBorders>
            <w:shd w:val="clear" w:color="auto" w:fill="FFFFFF"/>
            <w:tcMar>
              <w:top w:w="80" w:type="dxa"/>
              <w:left w:w="140" w:type="dxa"/>
              <w:bottom w:w="80" w:type="dxa"/>
              <w:right w:w="140" w:type="dxa"/>
            </w:tcMar>
            <w:vAlign w:val="center"/>
          </w:tcPr>
          <w:p w14:paraId="3B8BE0F1">
            <w:r>
              <w:rPr>
                <w:b/>
                <w:bCs/>
                <w:sz w:val="20"/>
                <w:szCs w:val="20"/>
              </w:rPr>
              <w:t>Energy</w:t>
            </w:r>
          </w:p>
        </w:tc>
        <w:tc>
          <w:tcPr>
            <w:tcW w:w="6560" w:type="dxa"/>
            <w:tcBorders>
              <w:top w:val="single" w:color="B8C9E1" w:sz="0" w:space="0"/>
              <w:left w:val="single" w:color="B8C9E1" w:sz="0" w:space="0"/>
              <w:bottom w:val="single" w:color="B8C9E1" w:sz="0" w:space="0"/>
              <w:right w:val="single" w:color="B8C9E1" w:sz="0" w:space="0"/>
            </w:tcBorders>
            <w:shd w:val="clear" w:color="auto" w:fill="FFFFFF"/>
            <w:tcMar>
              <w:top w:w="80" w:type="dxa"/>
              <w:left w:w="140" w:type="dxa"/>
              <w:bottom w:w="80" w:type="dxa"/>
              <w:right w:w="140" w:type="dxa"/>
            </w:tcMar>
            <w:vAlign w:val="center"/>
          </w:tcPr>
          <w:p w14:paraId="22BAC68E">
            <w:r>
              <w:rPr>
                <w:sz w:val="20"/>
                <w:szCs w:val="20"/>
              </w:rPr>
              <w:t>Electricity Source, Monthly Spend</w:t>
            </w:r>
          </w:p>
        </w:tc>
      </w:tr>
      <w:tr w14:paraId="31BBC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8C9E1" w:sz="0" w:space="0"/>
              <w:left w:val="single" w:color="B8C9E1" w:sz="0" w:space="0"/>
              <w:bottom w:val="single" w:color="B8C9E1" w:sz="0" w:space="0"/>
              <w:right w:val="single" w:color="B8C9E1" w:sz="0" w:space="0"/>
            </w:tcBorders>
            <w:shd w:val="clear" w:color="auto" w:fill="F2F6FC"/>
            <w:tcMar>
              <w:top w:w="80" w:type="dxa"/>
              <w:left w:w="140" w:type="dxa"/>
              <w:bottom w:w="80" w:type="dxa"/>
              <w:right w:w="140" w:type="dxa"/>
            </w:tcMar>
            <w:vAlign w:val="center"/>
          </w:tcPr>
          <w:p w14:paraId="2B0033A0">
            <w:r>
              <w:rPr>
                <w:b/>
                <w:bCs/>
                <w:sz w:val="20"/>
                <w:szCs w:val="20"/>
              </w:rPr>
              <w:t>Infrastructure</w:t>
            </w:r>
          </w:p>
        </w:tc>
        <w:tc>
          <w:tcPr>
            <w:tcW w:w="6560" w:type="dxa"/>
            <w:tcBorders>
              <w:top w:val="single" w:color="B8C9E1" w:sz="0" w:space="0"/>
              <w:left w:val="single" w:color="B8C9E1" w:sz="0" w:space="0"/>
              <w:bottom w:val="single" w:color="B8C9E1" w:sz="0" w:space="0"/>
              <w:right w:val="single" w:color="B8C9E1" w:sz="0" w:space="0"/>
            </w:tcBorders>
            <w:shd w:val="clear" w:color="auto" w:fill="F2F6FC"/>
            <w:tcMar>
              <w:top w:w="80" w:type="dxa"/>
              <w:left w:w="140" w:type="dxa"/>
              <w:bottom w:w="80" w:type="dxa"/>
              <w:right w:w="140" w:type="dxa"/>
            </w:tcMar>
            <w:vAlign w:val="center"/>
          </w:tcPr>
          <w:p w14:paraId="0E354DEA">
            <w:r>
              <w:rPr>
                <w:sz w:val="20"/>
                <w:szCs w:val="20"/>
              </w:rPr>
              <w:t>Distance to Nearest Connected Household (km)</w:t>
            </w:r>
          </w:p>
        </w:tc>
      </w:tr>
      <w:tr w14:paraId="31DDA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8C9E1" w:sz="0" w:space="0"/>
              <w:left w:val="single" w:color="B8C9E1" w:sz="0" w:space="0"/>
              <w:bottom w:val="single" w:color="B8C9E1" w:sz="0" w:space="0"/>
              <w:right w:val="single" w:color="B8C9E1" w:sz="0" w:space="0"/>
            </w:tcBorders>
            <w:shd w:val="clear" w:color="auto" w:fill="FFFFFF"/>
            <w:tcMar>
              <w:top w:w="80" w:type="dxa"/>
              <w:left w:w="140" w:type="dxa"/>
              <w:bottom w:w="80" w:type="dxa"/>
              <w:right w:w="140" w:type="dxa"/>
            </w:tcMar>
            <w:vAlign w:val="center"/>
          </w:tcPr>
          <w:p w14:paraId="3559BD4E">
            <w:r>
              <w:rPr>
                <w:b/>
                <w:bCs/>
                <w:sz w:val="20"/>
                <w:szCs w:val="20"/>
              </w:rPr>
              <w:t>Connectivity</w:t>
            </w:r>
          </w:p>
        </w:tc>
        <w:tc>
          <w:tcPr>
            <w:tcW w:w="6560" w:type="dxa"/>
            <w:tcBorders>
              <w:top w:val="single" w:color="B8C9E1" w:sz="0" w:space="0"/>
              <w:left w:val="single" w:color="B8C9E1" w:sz="0" w:space="0"/>
              <w:bottom w:val="single" w:color="B8C9E1" w:sz="0" w:space="0"/>
              <w:right w:val="single" w:color="B8C9E1" w:sz="0" w:space="0"/>
            </w:tcBorders>
            <w:shd w:val="clear" w:color="auto" w:fill="FFFFFF"/>
            <w:tcMar>
              <w:top w:w="80" w:type="dxa"/>
              <w:left w:w="140" w:type="dxa"/>
              <w:bottom w:w="80" w:type="dxa"/>
              <w:right w:w="140" w:type="dxa"/>
            </w:tcMar>
            <w:vAlign w:val="center"/>
          </w:tcPr>
          <w:p w14:paraId="14E83099">
            <w:r>
              <w:rPr>
                <w:sz w:val="20"/>
                <w:szCs w:val="20"/>
              </w:rPr>
              <w:t>Connection Status to Grid / Mini-Grid</w:t>
            </w:r>
          </w:p>
        </w:tc>
      </w:tr>
    </w:tbl>
    <w:p w14:paraId="34666A1B"/>
    <w:p w14:paraId="6CFE4008"/>
    <w:p w14:paraId="316547A6"/>
    <w:p w14:paraId="670F5563"/>
    <w:p w14:paraId="12507625"/>
    <w:p w14:paraId="36C4D24A"/>
    <w:p w14:paraId="2538CC14"/>
    <w:p w14:paraId="1E513770"/>
    <w:p w14:paraId="30FDF56B"/>
    <w:p w14:paraId="1CB33310"/>
    <w:p w14:paraId="0801284F"/>
    <w:p w14:paraId="74E0BB78"/>
    <w:p w14:paraId="77A7FFCC"/>
    <w:p w14:paraId="06112FA7">
      <w:pPr>
        <w:jc w:val="center"/>
        <w:rPr>
          <w:rFonts w:ascii="Calibri" w:hAnsi="Calibri" w:eastAsia="Calibri" w:cs="Calibri"/>
          <w:sz w:val="24"/>
          <w:szCs w:val="24"/>
        </w:rPr>
      </w:pPr>
      <w:r>
        <w:rPr>
          <w:rFonts w:ascii="Calibri" w:hAnsi="Calibri" w:eastAsia="Calibri" w:cs="Calibri"/>
          <w:sz w:val="24"/>
          <w:szCs w:val="24"/>
        </w:rPr>
        <w:drawing>
          <wp:inline distT="114300" distB="114300" distL="114300" distR="114300">
            <wp:extent cx="5471160" cy="2270760"/>
            <wp:effectExtent l="19050" t="19050" r="15240" b="15240"/>
            <wp:docPr id="19" name="image16.png"/>
            <wp:cNvGraphicFramePr/>
            <a:graphic xmlns:a="http://schemas.openxmlformats.org/drawingml/2006/main">
              <a:graphicData uri="http://schemas.openxmlformats.org/drawingml/2006/picture">
                <pic:pic xmlns:pic="http://schemas.openxmlformats.org/drawingml/2006/picture">
                  <pic:nvPicPr>
                    <pic:cNvPr id="19" name="image16.png"/>
                    <pic:cNvPicPr preferRelativeResize="0"/>
                  </pic:nvPicPr>
                  <pic:blipFill>
                    <a:blip r:embed="rId6"/>
                    <a:srcRect/>
                    <a:stretch>
                      <a:fillRect/>
                    </a:stretch>
                  </pic:blipFill>
                  <pic:spPr>
                    <a:xfrm>
                      <a:off x="0" y="0"/>
                      <a:ext cx="5471160" cy="2270760"/>
                    </a:xfrm>
                    <a:prstGeom prst="rect">
                      <a:avLst/>
                    </a:prstGeom>
                    <a:ln>
                      <a:solidFill>
                        <a:schemeClr val="tx1"/>
                      </a:solidFill>
                    </a:ln>
                  </pic:spPr>
                </pic:pic>
              </a:graphicData>
            </a:graphic>
          </wp:inline>
        </w:drawing>
      </w:r>
    </w:p>
    <w:p w14:paraId="62833D89">
      <w:pPr>
        <w:jc w:val="center"/>
        <w:rPr>
          <w:rFonts w:ascii="Calibri" w:hAnsi="Calibri" w:eastAsia="Calibri" w:cs="Calibri"/>
          <w:sz w:val="24"/>
          <w:szCs w:val="24"/>
        </w:rPr>
      </w:pPr>
    </w:p>
    <w:p w14:paraId="1EEA89F8">
      <w:pPr>
        <w:jc w:val="center"/>
      </w:pPr>
      <w:r>
        <w:rPr>
          <w:rFonts w:ascii="Calibri" w:hAnsi="Calibri" w:eastAsia="Calibri" w:cs="Calibri"/>
          <w:sz w:val="24"/>
          <w:szCs w:val="24"/>
        </w:rPr>
        <w:drawing>
          <wp:inline distT="114300" distB="114300" distL="114300" distR="114300">
            <wp:extent cx="5448300" cy="2880360"/>
            <wp:effectExtent l="19050" t="19050" r="19050" b="15240"/>
            <wp:docPr id="4" name="image3.png"/>
            <wp:cNvGraphicFramePr/>
            <a:graphic xmlns:a="http://schemas.openxmlformats.org/drawingml/2006/main">
              <a:graphicData uri="http://schemas.openxmlformats.org/drawingml/2006/picture">
                <pic:pic xmlns:pic="http://schemas.openxmlformats.org/drawingml/2006/picture">
                  <pic:nvPicPr>
                    <pic:cNvPr id="4" name="image3.png"/>
                    <pic:cNvPicPr preferRelativeResize="0"/>
                  </pic:nvPicPr>
                  <pic:blipFill>
                    <a:blip r:embed="rId7"/>
                    <a:srcRect b="6235"/>
                    <a:stretch>
                      <a:fillRect/>
                    </a:stretch>
                  </pic:blipFill>
                  <pic:spPr>
                    <a:xfrm>
                      <a:off x="0" y="0"/>
                      <a:ext cx="5448300" cy="2880360"/>
                    </a:xfrm>
                    <a:prstGeom prst="rect">
                      <a:avLst/>
                    </a:prstGeom>
                    <a:ln>
                      <a:solidFill>
                        <a:schemeClr val="tx1"/>
                      </a:solidFill>
                    </a:ln>
                  </pic:spPr>
                </pic:pic>
              </a:graphicData>
            </a:graphic>
          </wp:inline>
        </w:drawing>
      </w:r>
    </w:p>
    <w:p w14:paraId="41390EC8">
      <w:r>
        <w:br w:type="page"/>
      </w:r>
    </w:p>
    <w:p w14:paraId="7C2050FC">
      <w:pPr>
        <w:pStyle w:val="2"/>
      </w:pPr>
    </w:p>
    <w:p w14:paraId="08A52F9C">
      <w:pPr>
        <w:pStyle w:val="2"/>
      </w:pPr>
      <w:r>
        <w:t>3. Tools &amp; Technologies</w:t>
      </w:r>
    </w:p>
    <w:p w14:paraId="0D61EFEE">
      <w:pPr>
        <w:pBdr>
          <w:bottom w:val="single" w:color="2E75B6" w:sz="6" w:space="1"/>
        </w:pBdr>
      </w:pPr>
    </w:p>
    <w:p w14:paraId="256B26A4">
      <w:pPr>
        <w:spacing w:before="60" w:after="60"/>
      </w:pPr>
    </w:p>
    <w:p w14:paraId="483A71FF">
      <w:pPr>
        <w:pStyle w:val="3"/>
      </w:pPr>
      <w:r>
        <w:t>3.1 Core Tools</w:t>
      </w:r>
    </w:p>
    <w:p w14:paraId="47A41C65">
      <w:pPr>
        <w:pStyle w:val="21"/>
        <w:numPr>
          <w:ilvl w:val="0"/>
          <w:numId w:val="1"/>
        </w:numPr>
        <w:spacing w:before="40" w:after="40"/>
      </w:pPr>
      <w:r>
        <w:t>PySpark — Spark DataFrame API for scalable, distributed data processing.</w:t>
      </w:r>
    </w:p>
    <w:p w14:paraId="21BF00D6">
      <w:pPr>
        <w:pStyle w:val="21"/>
        <w:numPr>
          <w:ilvl w:val="0"/>
          <w:numId w:val="1"/>
        </w:numPr>
        <w:spacing w:before="40" w:after="40"/>
      </w:pPr>
      <w:r>
        <w:t>Spark SQL — SQL queries executed against registered Spark temporary views.</w:t>
      </w:r>
    </w:p>
    <w:p w14:paraId="1BF7D087">
      <w:pPr>
        <w:pStyle w:val="21"/>
        <w:numPr>
          <w:ilvl w:val="0"/>
          <w:numId w:val="1"/>
        </w:numPr>
        <w:spacing w:before="40" w:after="40"/>
      </w:pPr>
      <w:r>
        <w:t>Python — Orchestration, baseline benchmarking, and utility scripting.</w:t>
      </w:r>
    </w:p>
    <w:p w14:paraId="08A28AD7">
      <w:pPr>
        <w:pStyle w:val="21"/>
        <w:numPr>
          <w:ilvl w:val="0"/>
          <w:numId w:val="1"/>
        </w:numPr>
        <w:spacing w:before="40" w:after="40"/>
      </w:pPr>
      <w:r>
        <w:t>Matplotlib — Chart generation; all plots exported in JPG format.</w:t>
      </w:r>
    </w:p>
    <w:p w14:paraId="165BC9EF">
      <w:pPr>
        <w:pStyle w:val="21"/>
        <w:numPr>
          <w:ilvl w:val="0"/>
          <w:numId w:val="1"/>
        </w:numPr>
        <w:spacing w:before="40" w:after="40"/>
      </w:pPr>
      <w:r>
        <w:t>Jupyter Notebook / VS Code Notebook Editor — Interactive development environment.</w:t>
      </w:r>
    </w:p>
    <w:p w14:paraId="2501B473">
      <w:pPr>
        <w:spacing w:before="120" w:after="120"/>
      </w:pPr>
    </w:p>
    <w:p w14:paraId="73306F57">
      <w:pPr>
        <w:pStyle w:val="3"/>
      </w:pPr>
      <w:r>
        <w:t>3.2 Output Artifacts</w:t>
      </w:r>
    </w:p>
    <w:p w14:paraId="33D49C1B">
      <w:pPr>
        <w:pStyle w:val="21"/>
        <w:numPr>
          <w:ilvl w:val="0"/>
          <w:numId w:val="1"/>
        </w:numPr>
        <w:spacing w:before="40" w:after="40"/>
      </w:pPr>
      <w:r>
        <w:t>CSV and JSONL exports of aggregated results.</w:t>
      </w:r>
    </w:p>
    <w:p w14:paraId="64CBDCF7">
      <w:pPr>
        <w:pStyle w:val="21"/>
        <w:numPr>
          <w:ilvl w:val="0"/>
          <w:numId w:val="1"/>
        </w:numPr>
        <w:spacing w:before="40" w:after="40"/>
      </w:pPr>
      <w:r>
        <w:t>Multiple JPG graphs stored in etl_output/plots/jpg/.</w:t>
      </w:r>
    </w:p>
    <w:p w14:paraId="6D4E4323"/>
    <w:p w14:paraId="4955E202">
      <w:pPr>
        <w:jc w:val="center"/>
      </w:pPr>
      <w:r>
        <w:rPr>
          <w:rFonts w:ascii="Calibri" w:hAnsi="Calibri" w:eastAsia="Calibri" w:cs="Calibri"/>
          <w:b/>
          <w:bCs/>
          <w:sz w:val="24"/>
          <w:szCs w:val="24"/>
        </w:rPr>
        <w:drawing>
          <wp:inline distT="114300" distB="114300" distL="114300" distR="114300">
            <wp:extent cx="3801745" cy="3082290"/>
            <wp:effectExtent l="19050" t="19050" r="27305" b="22860"/>
            <wp:docPr id="12" name="image17.png"/>
            <wp:cNvGraphicFramePr/>
            <a:graphic xmlns:a="http://schemas.openxmlformats.org/drawingml/2006/main">
              <a:graphicData uri="http://schemas.openxmlformats.org/drawingml/2006/picture">
                <pic:pic xmlns:pic="http://schemas.openxmlformats.org/drawingml/2006/picture">
                  <pic:nvPicPr>
                    <pic:cNvPr id="12" name="image17.png"/>
                    <pic:cNvPicPr preferRelativeResize="0"/>
                  </pic:nvPicPr>
                  <pic:blipFill>
                    <a:blip r:embed="rId8"/>
                    <a:srcRect r="-1303" b="27929"/>
                    <a:stretch>
                      <a:fillRect/>
                    </a:stretch>
                  </pic:blipFill>
                  <pic:spPr>
                    <a:xfrm>
                      <a:off x="0" y="0"/>
                      <a:ext cx="3801745" cy="3082290"/>
                    </a:xfrm>
                    <a:prstGeom prst="rect">
                      <a:avLst/>
                    </a:prstGeom>
                    <a:ln>
                      <a:solidFill>
                        <a:schemeClr val="tx1"/>
                      </a:solidFill>
                    </a:ln>
                  </pic:spPr>
                </pic:pic>
              </a:graphicData>
            </a:graphic>
          </wp:inline>
        </w:drawing>
      </w:r>
    </w:p>
    <w:p w14:paraId="62FCCD28">
      <w:r>
        <w:br w:type="page"/>
      </w:r>
    </w:p>
    <w:p w14:paraId="2B09EE38"/>
    <w:p w14:paraId="4ECDB812">
      <w:pPr>
        <w:pStyle w:val="2"/>
      </w:pPr>
    </w:p>
    <w:p w14:paraId="3561AC1F">
      <w:pPr>
        <w:pStyle w:val="2"/>
      </w:pPr>
      <w:r>
        <w:t>4. Methodology</w:t>
      </w:r>
    </w:p>
    <w:p w14:paraId="69C9797A">
      <w:pPr>
        <w:pBdr>
          <w:bottom w:val="single" w:color="2E75B6" w:sz="6" w:space="1"/>
        </w:pBdr>
      </w:pPr>
    </w:p>
    <w:p w14:paraId="4F6E4820">
      <w:pPr>
        <w:spacing w:before="60" w:after="60"/>
      </w:pPr>
    </w:p>
    <w:p w14:paraId="177E5ED2">
      <w:pPr>
        <w:pStyle w:val="3"/>
      </w:pPr>
      <w:r>
        <w:t>4.1 ETL Pipeline Overview</w:t>
      </w:r>
    </w:p>
    <w:p w14:paraId="29528F9F">
      <w:pPr>
        <w:spacing w:before="60" w:after="60"/>
        <w:jc w:val="both"/>
      </w:pPr>
      <w:r>
        <w:t>The ETL (Extract, Transform, Load) pipeline is implemented using functional programming transformations within energy_project.ipynb. The pipeline follows six sequential phases:</w:t>
      </w:r>
    </w:p>
    <w:p w14:paraId="092BF101">
      <w:pPr>
        <w:pStyle w:val="21"/>
        <w:numPr>
          <w:ilvl w:val="0"/>
          <w:numId w:val="2"/>
        </w:numPr>
        <w:spacing w:before="40" w:after="40"/>
        <w:jc w:val="both"/>
      </w:pPr>
      <w:r>
        <w:t>Extract — Load the raw CSV into a Spark DataFrame.</w:t>
      </w:r>
    </w:p>
    <w:p w14:paraId="5AC780E2">
      <w:pPr>
        <w:pStyle w:val="21"/>
        <w:numPr>
          <w:ilvl w:val="0"/>
          <w:numId w:val="2"/>
        </w:numPr>
        <w:spacing w:before="40" w:after="40"/>
        <w:jc w:val="both"/>
      </w:pPr>
      <w:r>
        <w:t>Transform — Standardize categories, safely cast numeric fields, derive connection_status, and filter invalid rows (null, empty, or UNKNOWN values).</w:t>
      </w:r>
    </w:p>
    <w:p w14:paraId="6B2266A7">
      <w:pPr>
        <w:pStyle w:val="21"/>
        <w:numPr>
          <w:ilvl w:val="0"/>
          <w:numId w:val="2"/>
        </w:numPr>
        <w:spacing w:before="40" w:after="40"/>
        <w:jc w:val="both"/>
      </w:pPr>
      <w:r>
        <w:t>Load — Export core aggregations (region counts) as CSV and JSONL files.</w:t>
      </w:r>
    </w:p>
    <w:p w14:paraId="203D6C49">
      <w:pPr>
        <w:pStyle w:val="21"/>
        <w:numPr>
          <w:ilvl w:val="0"/>
          <w:numId w:val="2"/>
        </w:numPr>
        <w:spacing w:before="40" w:after="40"/>
        <w:jc w:val="both"/>
      </w:pPr>
      <w:r>
        <w:t>Validate — Compare DataFrame aggregations against equivalent Spark SQL aggregations.</w:t>
      </w:r>
    </w:p>
    <w:p w14:paraId="045F893E">
      <w:pPr>
        <w:pStyle w:val="21"/>
        <w:numPr>
          <w:ilvl w:val="0"/>
          <w:numId w:val="2"/>
        </w:numPr>
        <w:spacing w:before="40" w:after="40"/>
        <w:jc w:val="both"/>
      </w:pPr>
      <w:r>
        <w:t>Analyze — Produce multiple unique analytical plots across key dimensions.</w:t>
      </w:r>
    </w:p>
    <w:p w14:paraId="7D95ECAD">
      <w:pPr>
        <w:pStyle w:val="21"/>
        <w:numPr>
          <w:ilvl w:val="0"/>
          <w:numId w:val="2"/>
        </w:numPr>
        <w:spacing w:before="40" w:after="40"/>
        <w:jc w:val="both"/>
      </w:pPr>
      <w:r>
        <w:t>Benchmark — Measure and compare execution time: Spark SQL, Spark DataFrame, and pure Python.</w:t>
      </w:r>
    </w:p>
    <w:p w14:paraId="6FCAECD1">
      <w:pPr>
        <w:spacing w:before="120" w:after="120"/>
        <w:jc w:val="both"/>
      </w:pPr>
    </w:p>
    <w:p w14:paraId="2FEB78ED">
      <w:pPr>
        <w:pStyle w:val="3"/>
      </w:pPr>
      <w:r>
        <w:t>4.2 Implementation Details</w:t>
      </w:r>
    </w:p>
    <w:p w14:paraId="4DACE8A0">
      <w:pPr>
        <w:pStyle w:val="4"/>
      </w:pPr>
      <w:r>
        <w:t>A. Extract (Source)</w:t>
      </w:r>
    </w:p>
    <w:p w14:paraId="5448EEDE">
      <w:pPr>
        <w:spacing w:before="60" w:after="60"/>
        <w:jc w:val="both"/>
      </w:pPr>
      <w:r>
        <w:t>The raw dataset is loaded using:</w:t>
      </w:r>
    </w:p>
    <w:p w14:paraId="67FF1C66">
      <w:pPr>
        <w:shd w:val="clear" w:color="auto" w:fill="F2F6FC"/>
        <w:spacing w:before="80" w:after="80"/>
        <w:ind w:left="360"/>
      </w:pPr>
      <w:r>
        <w:rPr>
          <w:rFonts w:ascii="Courier New" w:hAnsi="Courier New" w:eastAsia="Courier New" w:cs="Courier New"/>
          <w:color w:val="1F3864"/>
          <w:sz w:val="20"/>
          <w:szCs w:val="20"/>
        </w:rPr>
        <w:t>spark.read.option("header", "true").csv(...)</w:t>
      </w:r>
    </w:p>
    <w:p w14:paraId="700473AC">
      <w:pPr>
        <w:spacing w:before="60" w:after="60"/>
        <w:jc w:val="both"/>
      </w:pPr>
      <w:r>
        <w:t>This produces a raw Spark DataFrame with schema inferred from column headers.</w:t>
      </w:r>
    </w:p>
    <w:p w14:paraId="60F5AC33">
      <w:pPr>
        <w:pStyle w:val="4"/>
      </w:pPr>
      <w:r>
        <w:t>B. Transform (Functional Operations)</w:t>
      </w:r>
    </w:p>
    <w:p w14:paraId="34B8D62A">
      <w:pPr>
        <w:pStyle w:val="21"/>
        <w:numPr>
          <w:ilvl w:val="0"/>
          <w:numId w:val="1"/>
        </w:numPr>
        <w:spacing w:before="40" w:after="40"/>
        <w:jc w:val="both"/>
      </w:pPr>
      <w:r>
        <w:t>Map — withColumn and when/otherwise logic maps raw connectivity codes (1 or 2) to readable labels ("Connected" / "Not Connected"). This mapping function is applied to every row.</w:t>
      </w:r>
    </w:p>
    <w:p w14:paraId="2614A490">
      <w:pPr>
        <w:pStyle w:val="21"/>
        <w:numPr>
          <w:ilvl w:val="0"/>
          <w:numId w:val="1"/>
        </w:numPr>
        <w:spacing w:before="40" w:after="40"/>
        <w:jc w:val="both"/>
      </w:pPr>
      <w:r>
        <w:t>Filter — .filter() removes rows where labels are empty, null, or "UNKNOWN", ensuring only high-quality data enters the analytics stage.</w:t>
      </w:r>
    </w:p>
    <w:p w14:paraId="646BCF3A">
      <w:pPr>
        <w:pStyle w:val="21"/>
        <w:numPr>
          <w:ilvl w:val="0"/>
          <w:numId w:val="1"/>
        </w:numPr>
        <w:spacing w:before="40" w:after="40"/>
        <w:jc w:val="both"/>
      </w:pPr>
      <w:r>
        <w:t>GroupBy — .groupBy("region") or .groupBy("connection_status") groups related rows for aggregation.</w:t>
      </w:r>
    </w:p>
    <w:p w14:paraId="71F6B08A">
      <w:pPr>
        <w:pStyle w:val="21"/>
        <w:numPr>
          <w:ilvl w:val="0"/>
          <w:numId w:val="1"/>
        </w:numPr>
        <w:spacing w:before="40" w:after="40"/>
        <w:jc w:val="both"/>
      </w:pPr>
      <w:r>
        <w:t>Reduce — .count() or .agg(F.sum(...)) collapses groups into single numerical results (e.g., total count per region).</w:t>
      </w:r>
    </w:p>
    <w:p w14:paraId="7F927032">
      <w:pPr>
        <w:pStyle w:val="4"/>
      </w:pPr>
      <w:r>
        <w:t>C. Load (Destination)</w:t>
      </w:r>
    </w:p>
    <w:p w14:paraId="540B6AA6">
      <w:pPr>
        <w:spacing w:before="60" w:after="60"/>
        <w:jc w:val="both"/>
      </w:pPr>
      <w:r>
        <w:t>Aggregated results are written to disk as CSV and JSONL files in the etl_output/ directory for downstream consumption and submission.</w:t>
      </w:r>
    </w:p>
    <w:p w14:paraId="29F5322B">
      <w:pPr>
        <w:spacing w:before="120" w:after="120"/>
      </w:pPr>
    </w:p>
    <w:p w14:paraId="7E9BEA04">
      <w:pPr>
        <w:pStyle w:val="3"/>
      </w:pPr>
      <w:r>
        <w:t>4.3 Data Cleaning &amp; Quality Rules</w:t>
      </w:r>
    </w:p>
    <w:p w14:paraId="5E4759ED">
      <w:pPr>
        <w:spacing w:before="60" w:after="60"/>
        <w:jc w:val="both"/>
      </w:pPr>
      <w:r>
        <w:t>Strict cleaning rules are applied before any analysis to prevent misleading charts and ensure interpretability:</w:t>
      </w:r>
    </w:p>
    <w:p w14:paraId="04BE9165">
      <w:pPr>
        <w:spacing w:before="100" w:after="40"/>
      </w:pPr>
      <w:r>
        <w:rPr>
          <w:b/>
          <w:bCs/>
          <w:color w:val="2E5D9E"/>
        </w:rPr>
        <w:t>Category Columns:</w:t>
      </w:r>
    </w:p>
    <w:p w14:paraId="454CA8CD">
      <w:pPr>
        <w:pStyle w:val="21"/>
        <w:numPr>
          <w:ilvl w:val="0"/>
          <w:numId w:val="1"/>
        </w:numPr>
        <w:spacing w:before="40" w:after="40"/>
      </w:pPr>
      <w:r>
        <w:t>Remove null values.</w:t>
      </w:r>
    </w:p>
    <w:p w14:paraId="7252C29D">
      <w:pPr>
        <w:pStyle w:val="21"/>
        <w:numPr>
          <w:ilvl w:val="0"/>
          <w:numId w:val="1"/>
        </w:numPr>
        <w:spacing w:before="40" w:after="40"/>
      </w:pPr>
      <w:r>
        <w:t>Remove empty strings.</w:t>
      </w:r>
    </w:p>
    <w:p w14:paraId="090D4AEC">
      <w:pPr>
        <w:pStyle w:val="21"/>
        <w:numPr>
          <w:ilvl w:val="0"/>
          <w:numId w:val="1"/>
        </w:numPr>
        <w:spacing w:before="40" w:after="40"/>
      </w:pPr>
      <w:r>
        <w:t>Remove the literal string "UNKNOWN".</w:t>
      </w:r>
    </w:p>
    <w:p w14:paraId="566A00AA">
      <w:pPr>
        <w:spacing w:before="100" w:after="40"/>
        <w:rPr>
          <w:b/>
          <w:bCs/>
          <w:color w:val="2E5D9E"/>
        </w:rPr>
      </w:pPr>
    </w:p>
    <w:p w14:paraId="301ACBE0">
      <w:pPr>
        <w:spacing w:before="100" w:after="40"/>
      </w:pPr>
      <w:r>
        <w:rPr>
          <w:b/>
          <w:bCs/>
          <w:color w:val="2E5D9E"/>
        </w:rPr>
        <w:t>Connection Status:</w:t>
      </w:r>
    </w:p>
    <w:p w14:paraId="0D11EE6B">
      <w:pPr>
        <w:pStyle w:val="21"/>
        <w:numPr>
          <w:ilvl w:val="0"/>
          <w:numId w:val="1"/>
        </w:numPr>
        <w:spacing w:before="40" w:after="40"/>
      </w:pPr>
      <w:r>
        <w:t>Connected — mapped from raw field.</w:t>
      </w:r>
    </w:p>
    <w:p w14:paraId="45BCF849">
      <w:pPr>
        <w:pStyle w:val="21"/>
        <w:numPr>
          <w:ilvl w:val="0"/>
          <w:numId w:val="1"/>
        </w:numPr>
        <w:spacing w:before="40" w:after="40"/>
      </w:pPr>
      <w:r>
        <w:t>Not Connected — mapped from raw field.</w:t>
      </w:r>
    </w:p>
    <w:p w14:paraId="5BDE14FF">
      <w:pPr>
        <w:pStyle w:val="21"/>
        <w:numPr>
          <w:ilvl w:val="0"/>
          <w:numId w:val="1"/>
        </w:numPr>
        <w:spacing w:before="40" w:after="40"/>
      </w:pPr>
      <w:r>
        <w:t>Unknown / NA — excluded from grouped analyses.</w:t>
      </w:r>
    </w:p>
    <w:p w14:paraId="253FDD62">
      <w:pPr>
        <w:spacing w:before="100" w:after="40"/>
      </w:pPr>
      <w:r>
        <w:rPr>
          <w:b/>
          <w:bCs/>
          <w:color w:val="2E5D9E"/>
        </w:rPr>
        <w:t>Numeric Columns:</w:t>
      </w:r>
    </w:p>
    <w:p w14:paraId="7EE64316">
      <w:pPr>
        <w:pStyle w:val="21"/>
        <w:numPr>
          <w:ilvl w:val="0"/>
          <w:numId w:val="1"/>
        </w:numPr>
        <w:spacing w:before="40" w:after="40"/>
      </w:pPr>
      <w:r>
        <w:t>Apply safe numeric casting.</w:t>
      </w:r>
    </w:p>
    <w:p w14:paraId="5D6CC585">
      <w:pPr>
        <w:pStyle w:val="21"/>
        <w:numPr>
          <w:ilvl w:val="0"/>
          <w:numId w:val="1"/>
        </w:numPr>
        <w:spacing w:before="40" w:after="40"/>
      </w:pPr>
      <w:r>
        <w:t>Drop null or non-numeric values before plotting.</w:t>
      </w:r>
    </w:p>
    <w:p w14:paraId="66A3BCCF">
      <w:pPr>
        <w:spacing w:before="100" w:after="40"/>
      </w:pPr>
      <w:r>
        <w:rPr>
          <w:b/>
          <w:bCs/>
          <w:color w:val="2E5D9E"/>
        </w:rPr>
        <w:t>Why this matters:</w:t>
      </w:r>
    </w:p>
    <w:p w14:paraId="46783BD5">
      <w:pPr>
        <w:pStyle w:val="21"/>
        <w:numPr>
          <w:ilvl w:val="0"/>
          <w:numId w:val="1"/>
        </w:numPr>
        <w:spacing w:before="40" w:after="40"/>
      </w:pPr>
      <w:r>
        <w:t>Prevents misleading charts and duplicate/noisy categories</w:t>
      </w:r>
    </w:p>
    <w:p w14:paraId="750ABE9A">
      <w:pPr>
        <w:pStyle w:val="21"/>
        <w:numPr>
          <w:ilvl w:val="0"/>
          <w:numId w:val="1"/>
        </w:numPr>
        <w:spacing w:before="40" w:after="40"/>
      </w:pPr>
      <w:r>
        <w:t>Ensures every chart is based on reliable information.</w:t>
      </w:r>
    </w:p>
    <w:p w14:paraId="0CF64592"/>
    <w:p w14:paraId="2B9F9677">
      <w:pPr>
        <w:jc w:val="both"/>
        <w:rPr>
          <w:rFonts w:ascii="Calibri" w:hAnsi="Calibri" w:eastAsia="Calibri" w:cs="Calibri"/>
          <w:sz w:val="24"/>
          <w:szCs w:val="24"/>
        </w:rPr>
      </w:pPr>
      <w:r>
        <w:rPr>
          <w:rFonts w:ascii="Calibri" w:hAnsi="Calibri" w:eastAsia="Calibri" w:cs="Calibri"/>
          <w:sz w:val="24"/>
          <w:szCs w:val="24"/>
        </w:rPr>
        <w:t xml:space="preserve"> </w:t>
      </w:r>
    </w:p>
    <w:p w14:paraId="1EC6B006">
      <w:pPr>
        <w:jc w:val="both"/>
        <w:rPr>
          <w:rFonts w:ascii="Calibri" w:hAnsi="Calibri" w:eastAsia="Calibri" w:cs="Calibri"/>
          <w:b/>
          <w:bCs/>
          <w:color w:val="2E75B6"/>
          <w:sz w:val="28"/>
          <w:szCs w:val="28"/>
        </w:rPr>
      </w:pPr>
      <w:r>
        <w:rPr>
          <w:rFonts w:ascii="Calibri" w:hAnsi="Calibri" w:eastAsia="Calibri" w:cs="Calibri"/>
          <w:b/>
          <w:bCs/>
          <w:color w:val="2E75B6"/>
          <w:sz w:val="28"/>
          <w:szCs w:val="28"/>
        </w:rPr>
        <w:t>Validation: Spark SQL vs DataFrame</w:t>
      </w:r>
    </w:p>
    <w:p w14:paraId="14176350">
      <w:pPr>
        <w:jc w:val="both"/>
        <w:rPr>
          <w:rFonts w:eastAsia="Calibri"/>
          <w:szCs w:val="24"/>
          <w:u w:val="single"/>
        </w:rPr>
      </w:pPr>
      <w:r>
        <w:rPr>
          <w:rFonts w:eastAsia="Calibri"/>
          <w:szCs w:val="24"/>
          <w:u w:val="single"/>
        </w:rPr>
        <w:t>Why Validation?</w:t>
      </w:r>
    </w:p>
    <w:p w14:paraId="60A63818">
      <w:pPr>
        <w:jc w:val="both"/>
        <w:rPr>
          <w:rFonts w:eastAsia="Calibri"/>
          <w:szCs w:val="24"/>
        </w:rPr>
      </w:pPr>
      <w:r>
        <w:rPr>
          <w:rFonts w:eastAsia="Calibri"/>
          <w:szCs w:val="24"/>
        </w:rPr>
        <w:t>- SQL and DataFrame methods should produce identical results.</w:t>
      </w:r>
    </w:p>
    <w:p w14:paraId="03957A20">
      <w:pPr>
        <w:jc w:val="both"/>
        <w:rPr>
          <w:rFonts w:ascii="Calibri" w:hAnsi="Calibri" w:eastAsia="Calibri" w:cs="Calibri"/>
          <w:b/>
          <w:bCs/>
          <w:sz w:val="28"/>
          <w:szCs w:val="28"/>
        </w:rPr>
      </w:pPr>
      <w:r>
        <w:rPr>
          <w:rFonts w:ascii="Calibri" w:hAnsi="Calibri" w:eastAsia="Calibri" w:cs="Calibri"/>
          <w:sz w:val="24"/>
          <w:szCs w:val="24"/>
        </w:rPr>
        <w:t xml:space="preserve"> </w:t>
      </w:r>
    </w:p>
    <w:p w14:paraId="401F5EA0">
      <w:pPr>
        <w:jc w:val="both"/>
        <w:rPr>
          <w:rFonts w:ascii="Calibri" w:hAnsi="Calibri" w:eastAsia="Calibri" w:cs="Calibri"/>
          <w:b/>
          <w:bCs/>
          <w:sz w:val="28"/>
          <w:szCs w:val="28"/>
        </w:rPr>
      </w:pPr>
      <w:r>
        <w:rPr>
          <w:rFonts w:ascii="Calibri" w:hAnsi="Calibri" w:eastAsia="Calibri" w:cs="Calibri"/>
          <w:b/>
          <w:bCs/>
          <w:color w:val="2E75B6"/>
          <w:sz w:val="28"/>
          <w:szCs w:val="28"/>
        </w:rPr>
        <w:t>Approach</w:t>
      </w:r>
    </w:p>
    <w:p w14:paraId="5E3D7AD4">
      <w:pPr>
        <w:jc w:val="both"/>
        <w:rPr>
          <w:rFonts w:eastAsia="Calibri"/>
          <w:szCs w:val="24"/>
        </w:rPr>
      </w:pPr>
      <w:r>
        <w:rPr>
          <w:rFonts w:eastAsia="Calibri"/>
          <w:szCs w:val="24"/>
        </w:rPr>
        <w:t>- Create temp view: `energy_etl`</w:t>
      </w:r>
    </w:p>
    <w:p w14:paraId="7C23A039">
      <w:pPr>
        <w:jc w:val="both"/>
        <w:rPr>
          <w:rFonts w:eastAsia="Calibri"/>
          <w:szCs w:val="24"/>
        </w:rPr>
      </w:pPr>
      <w:r>
        <w:rPr>
          <w:rFonts w:eastAsia="Calibri"/>
          <w:szCs w:val="24"/>
        </w:rPr>
        <w:t>- Run SQL aggregation:</w:t>
      </w:r>
    </w:p>
    <w:p w14:paraId="77426482">
      <w:pPr>
        <w:jc w:val="both"/>
        <w:rPr>
          <w:rFonts w:eastAsia="Calibri"/>
          <w:szCs w:val="24"/>
        </w:rPr>
      </w:pPr>
      <w:r>
        <w:rPr>
          <w:rFonts w:eastAsia="Calibri"/>
          <w:szCs w:val="24"/>
        </w:rPr>
        <w:t xml:space="preserve">  - `SELECT region, COUNT(*) ... GROUP BY region`</w:t>
      </w:r>
    </w:p>
    <w:p w14:paraId="22BD4AC5">
      <w:pPr>
        <w:jc w:val="both"/>
        <w:rPr>
          <w:rFonts w:eastAsia="Calibri"/>
          <w:szCs w:val="24"/>
        </w:rPr>
      </w:pPr>
      <w:r>
        <w:rPr>
          <w:rFonts w:eastAsia="Calibri"/>
          <w:szCs w:val="24"/>
        </w:rPr>
        <w:t>- Run DataFrame aggregation:</w:t>
      </w:r>
    </w:p>
    <w:p w14:paraId="3F7B8B86">
      <w:pPr>
        <w:jc w:val="both"/>
        <w:rPr>
          <w:rFonts w:eastAsia="Calibri"/>
          <w:szCs w:val="24"/>
        </w:rPr>
      </w:pPr>
      <w:r>
        <w:rPr>
          <w:rFonts w:eastAsia="Calibri"/>
          <w:szCs w:val="24"/>
        </w:rPr>
        <w:t xml:space="preserve">  - `.groupBy("region").count()`</w:t>
      </w:r>
    </w:p>
    <w:p w14:paraId="032B61E8">
      <w:pPr>
        <w:jc w:val="both"/>
        <w:rPr>
          <w:rFonts w:eastAsia="Calibri"/>
          <w:szCs w:val="24"/>
        </w:rPr>
      </w:pPr>
      <w:r>
        <w:rPr>
          <w:rFonts w:eastAsia="Calibri"/>
          <w:szCs w:val="24"/>
        </w:rPr>
        <w:t>- Join and compare counts:</w:t>
      </w:r>
    </w:p>
    <w:p w14:paraId="4F97892F">
      <w:pPr>
        <w:jc w:val="both"/>
        <w:rPr>
          <w:rFonts w:eastAsia="Calibri"/>
          <w:szCs w:val="24"/>
        </w:rPr>
      </w:pPr>
      <w:r>
        <w:rPr>
          <w:rFonts w:eastAsia="Calibri"/>
          <w:szCs w:val="24"/>
        </w:rPr>
        <w:t xml:space="preserve">  - Expect mismatch count = 0</w:t>
      </w:r>
    </w:p>
    <w:p w14:paraId="7C537D0C">
      <w:pPr>
        <w:spacing w:before="80" w:after="80"/>
      </w:pPr>
    </w:p>
    <w:p w14:paraId="01EE7796"/>
    <w:p w14:paraId="5CFF007B">
      <w:pPr>
        <w:pStyle w:val="2"/>
      </w:pPr>
      <w:r>
        <w:rPr>
          <w:rFonts w:hint="default"/>
          <w:lang w:val="en-US"/>
        </w:rPr>
        <w:t>5</w:t>
      </w:r>
      <w:r>
        <w:t>. Validation: Spark SQL vs. DataFrame</w:t>
      </w:r>
    </w:p>
    <w:p w14:paraId="6DC618D7">
      <w:pPr>
        <w:pBdr>
          <w:bottom w:val="single" w:color="2E75B6" w:sz="6" w:space="1"/>
        </w:pBdr>
      </w:pPr>
    </w:p>
    <w:p w14:paraId="094624C5">
      <w:pPr>
        <w:spacing w:before="60" w:after="60"/>
      </w:pPr>
    </w:p>
    <w:p w14:paraId="0BC164BC">
      <w:pPr>
        <w:pStyle w:val="3"/>
      </w:pPr>
      <w:r>
        <w:rPr>
          <w:rFonts w:hint="default"/>
          <w:lang w:val="en-US"/>
        </w:rPr>
        <w:t>5</w:t>
      </w:r>
      <w:r>
        <w:t>.1 Approach</w:t>
      </w:r>
    </w:p>
    <w:p w14:paraId="25CC7218">
      <w:pPr>
        <w:spacing w:before="60" w:after="60"/>
        <w:jc w:val="both"/>
      </w:pPr>
      <w:r>
        <w:t>To confirm correctness, the pipeline validates that SQL-based and DataFrame-based aggregations produce identical results:</w:t>
      </w:r>
    </w:p>
    <w:p w14:paraId="36A1AE38">
      <w:pPr>
        <w:pStyle w:val="21"/>
        <w:numPr>
          <w:ilvl w:val="0"/>
          <w:numId w:val="2"/>
        </w:numPr>
        <w:spacing w:before="40" w:after="40"/>
      </w:pPr>
      <w:r>
        <w:t>Register a temporary Spark view: energy_etl.</w:t>
      </w:r>
    </w:p>
    <w:p w14:paraId="0BB3BFA3">
      <w:pPr>
        <w:pStyle w:val="21"/>
        <w:numPr>
          <w:ilvl w:val="0"/>
          <w:numId w:val="2"/>
        </w:numPr>
        <w:spacing w:before="40" w:after="40"/>
      </w:pPr>
      <w:r>
        <w:t>Execute SQL aggregation: SELECT region, COUNT(*) ... GROUP BY region.</w:t>
      </w:r>
    </w:p>
    <w:p w14:paraId="254FD495">
      <w:pPr>
        <w:pStyle w:val="21"/>
        <w:numPr>
          <w:ilvl w:val="0"/>
          <w:numId w:val="2"/>
        </w:numPr>
        <w:spacing w:before="40" w:after="40"/>
      </w:pPr>
      <w:r>
        <w:t>Execute DataFrame aggregation: .groupBy("region").count().</w:t>
      </w:r>
    </w:p>
    <w:p w14:paraId="071F7B5A">
      <w:pPr>
        <w:pStyle w:val="21"/>
        <w:numPr>
          <w:ilvl w:val="0"/>
          <w:numId w:val="2"/>
        </w:numPr>
        <w:spacing w:before="40" w:after="40"/>
      </w:pPr>
      <w:r>
        <w:t>Join both result sets and compare row-by-row; expect zero mismatches.</w:t>
      </w:r>
    </w:p>
    <w:p w14:paraId="413414C7">
      <w:pPr>
        <w:spacing w:before="100" w:after="100"/>
      </w:pPr>
    </w:p>
    <w:p w14:paraId="55E3091F">
      <w:pPr>
        <w:pStyle w:val="3"/>
      </w:pPr>
      <w:r>
        <w:rPr>
          <w:rFonts w:hint="default"/>
          <w:lang w:val="en-US"/>
        </w:rPr>
        <w:t>5</w:t>
      </w:r>
      <w:r>
        <w:t>.2 Result</w:t>
      </w:r>
    </w:p>
    <w:p w14:paraId="4362B3C6">
      <w:pPr>
        <w:spacing w:before="60" w:after="60"/>
      </w:pPr>
      <w:r>
        <w:rPr>
          <w:b/>
          <w:bCs/>
          <w:color w:val="2E5D9E"/>
        </w:rPr>
        <w:t xml:space="preserve">Validation Outcome: </w:t>
      </w:r>
      <w:r>
        <w:t>"ALL TESTS PASSED" — no mismatches detected between SQL and DataFrame aggregations.</w:t>
      </w:r>
    </w:p>
    <w:p w14:paraId="21A857FE">
      <w:pPr>
        <w:spacing w:before="60" w:after="60"/>
      </w:pPr>
    </w:p>
    <w:p w14:paraId="6A4D78F9">
      <w:pPr>
        <w:spacing w:before="60" w:after="60"/>
        <w:jc w:val="center"/>
        <w:rPr>
          <w:rFonts w:ascii="Calibri" w:hAnsi="Calibri" w:eastAsia="Calibri" w:cs="Calibri"/>
          <w:sz w:val="24"/>
          <w:szCs w:val="24"/>
        </w:rPr>
      </w:pPr>
    </w:p>
    <w:p w14:paraId="6A77C45F">
      <w:pPr>
        <w:spacing w:before="60" w:after="60"/>
        <w:jc w:val="center"/>
      </w:pPr>
      <w:r>
        <w:rPr>
          <w:rFonts w:ascii="Calibri" w:hAnsi="Calibri" w:eastAsia="Calibri" w:cs="Calibri"/>
          <w:sz w:val="24"/>
          <w:szCs w:val="24"/>
        </w:rPr>
        <w:drawing>
          <wp:inline distT="114300" distB="114300" distL="114300" distR="114300">
            <wp:extent cx="4419600" cy="1734820"/>
            <wp:effectExtent l="0" t="0" r="0" b="17780"/>
            <wp:docPr id="8" name="image6.png"/>
            <wp:cNvGraphicFramePr/>
            <a:graphic xmlns:a="http://schemas.openxmlformats.org/drawingml/2006/main">
              <a:graphicData uri="http://schemas.openxmlformats.org/drawingml/2006/picture">
                <pic:pic xmlns:pic="http://schemas.openxmlformats.org/drawingml/2006/picture">
                  <pic:nvPicPr>
                    <pic:cNvPr id="8" name="image6.png"/>
                    <pic:cNvPicPr preferRelativeResize="0"/>
                  </pic:nvPicPr>
                  <pic:blipFill>
                    <a:blip r:embed="rId9"/>
                    <a:srcRect/>
                    <a:stretch>
                      <a:fillRect/>
                    </a:stretch>
                  </pic:blipFill>
                  <pic:spPr>
                    <a:xfrm>
                      <a:off x="0" y="0"/>
                      <a:ext cx="4419600" cy="1734820"/>
                    </a:xfrm>
                    <a:prstGeom prst="rect">
                      <a:avLst/>
                    </a:prstGeom>
                  </pic:spPr>
                </pic:pic>
              </a:graphicData>
            </a:graphic>
          </wp:inline>
        </w:drawing>
      </w:r>
    </w:p>
    <w:p w14:paraId="081262FB">
      <w:pPr>
        <w:spacing w:before="60" w:after="60"/>
        <w:jc w:val="center"/>
      </w:pPr>
      <w:r>
        <w:drawing>
          <wp:inline distT="0" distB="0" distL="114300" distR="114300">
            <wp:extent cx="4385945" cy="1971040"/>
            <wp:effectExtent l="0" t="0" r="14605" b="10160"/>
            <wp:docPr id="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7"/>
                    <pic:cNvPicPr>
                      <a:picLocks noChangeAspect="1"/>
                    </pic:cNvPicPr>
                  </pic:nvPicPr>
                  <pic:blipFill>
                    <a:blip r:embed="rId10"/>
                    <a:stretch>
                      <a:fillRect/>
                    </a:stretch>
                  </pic:blipFill>
                  <pic:spPr>
                    <a:xfrm>
                      <a:off x="0" y="0"/>
                      <a:ext cx="4385945" cy="1971040"/>
                    </a:xfrm>
                    <a:prstGeom prst="rect">
                      <a:avLst/>
                    </a:prstGeom>
                    <a:noFill/>
                    <a:ln>
                      <a:noFill/>
                    </a:ln>
                  </pic:spPr>
                </pic:pic>
              </a:graphicData>
            </a:graphic>
          </wp:inline>
        </w:drawing>
      </w:r>
    </w:p>
    <w:p w14:paraId="4FBF395A"/>
    <w:p w14:paraId="6D543994">
      <w:pPr>
        <w:pStyle w:val="2"/>
      </w:pPr>
      <w:r>
        <w:rPr>
          <w:rFonts w:hint="default"/>
          <w:lang w:val="en-US"/>
        </w:rPr>
        <w:t>6</w:t>
      </w:r>
      <w:r>
        <w:t>. Performance Benchmarking</w:t>
      </w:r>
    </w:p>
    <w:p w14:paraId="516FFB8F">
      <w:pPr>
        <w:pBdr>
          <w:bottom w:val="single" w:color="2E75B6" w:sz="6" w:space="1"/>
        </w:pBdr>
      </w:pPr>
    </w:p>
    <w:p w14:paraId="370450AA">
      <w:pPr>
        <w:spacing w:before="60" w:after="60"/>
      </w:pPr>
    </w:p>
    <w:p w14:paraId="3B9E932A">
      <w:pPr>
        <w:spacing w:before="120" w:after="120"/>
        <w:jc w:val="both"/>
        <w:rPr>
          <w:rFonts w:hint="default"/>
          <w:b/>
          <w:bCs/>
        </w:rPr>
      </w:pPr>
      <w:r>
        <w:rPr>
          <w:b/>
          <w:bCs/>
        </w:rPr>
        <w:t xml:space="preserve">7.1 </w:t>
      </w:r>
      <w:r>
        <w:rPr>
          <w:rFonts w:hint="default"/>
          <w:b/>
          <w:bCs/>
        </w:rPr>
        <w:t>Detailed Analysis: Spark SQL vs. Pure Python Performance</w:t>
      </w:r>
    </w:p>
    <w:p w14:paraId="3CCEC59C">
      <w:pPr>
        <w:spacing w:before="120" w:after="120"/>
        <w:jc w:val="both"/>
      </w:pPr>
      <w:r>
        <w:rPr>
          <w:rFonts w:hint="default"/>
        </w:rPr>
        <w:t>The final benchmarking results in the notebook energy_project.ipynb provide a clear technical comparison of how these two systems handle data at different scales.</w:t>
      </w:r>
      <w:r>
        <w:drawing>
          <wp:inline distT="0" distB="0" distL="114300" distR="114300">
            <wp:extent cx="6396355" cy="2534285"/>
            <wp:effectExtent l="0" t="0" r="4445"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6396355" cy="2534285"/>
                    </a:xfrm>
                    <a:prstGeom prst="rect">
                      <a:avLst/>
                    </a:prstGeom>
                    <a:noFill/>
                    <a:ln>
                      <a:noFill/>
                    </a:ln>
                  </pic:spPr>
                </pic:pic>
              </a:graphicData>
            </a:graphic>
          </wp:inline>
        </w:drawing>
      </w:r>
    </w:p>
    <w:p w14:paraId="78A5C6C6">
      <w:pPr>
        <w:spacing w:before="120" w:after="120"/>
        <w:rPr>
          <w:rFonts w:hint="default"/>
          <w:b/>
          <w:bCs/>
        </w:rPr>
      </w:pPr>
    </w:p>
    <w:p w14:paraId="14C4BAB1">
      <w:pPr>
        <w:spacing w:before="120" w:after="120"/>
        <w:rPr>
          <w:rFonts w:hint="default"/>
          <w:b/>
          <w:bCs/>
          <w:lang w:val="en-US"/>
        </w:rPr>
      </w:pPr>
      <w:r>
        <w:rPr>
          <w:rFonts w:hint="default"/>
          <w:b/>
          <w:bCs/>
        </w:rPr>
        <w:t>Understanding the Results</w:t>
      </w:r>
      <w:r>
        <w:rPr>
          <w:rFonts w:hint="default"/>
          <w:b/>
          <w:bCs/>
          <w:lang w:val="en-US"/>
        </w:rPr>
        <w:t>:</w:t>
      </w:r>
    </w:p>
    <w:p w14:paraId="445598A2">
      <w:pPr>
        <w:spacing w:before="120" w:after="120"/>
        <w:rPr>
          <w:rFonts w:hint="default"/>
          <w:b/>
          <w:bCs/>
          <w:sz w:val="21"/>
          <w:szCs w:val="21"/>
          <w:lang w:val="en-US"/>
        </w:rPr>
      </w:pPr>
      <w:r>
        <w:rPr>
          <w:rFonts w:hint="default"/>
          <w:b/>
          <w:bCs/>
          <w:sz w:val="21"/>
          <w:szCs w:val="21"/>
          <w:lang w:val="en-US"/>
        </w:rPr>
        <w:t>Which is Performing Better?</w:t>
      </w:r>
    </w:p>
    <w:p w14:paraId="5715913E">
      <w:pPr>
        <w:spacing w:before="120" w:after="120"/>
        <w:rPr>
          <w:rFonts w:hint="default"/>
          <w:b w:val="0"/>
          <w:bCs w:val="0"/>
          <w:sz w:val="21"/>
          <w:szCs w:val="21"/>
          <w:lang w:val="en-US"/>
        </w:rPr>
      </w:pPr>
      <w:r>
        <w:rPr>
          <w:rFonts w:hint="default"/>
          <w:b w:val="0"/>
          <w:bCs w:val="0"/>
          <w:sz w:val="21"/>
          <w:szCs w:val="21"/>
          <w:lang w:val="en-US"/>
        </w:rPr>
        <w:t>The answer depends on the Scale of the Data :</w:t>
      </w:r>
    </w:p>
    <w:p w14:paraId="27ABF4CA">
      <w:pPr>
        <w:spacing w:before="120" w:after="120"/>
        <w:rPr>
          <w:rFonts w:hint="default"/>
          <w:b w:val="0"/>
          <w:bCs w:val="0"/>
          <w:sz w:val="21"/>
          <w:szCs w:val="21"/>
          <w:lang w:val="en-US"/>
        </w:rPr>
      </w:pPr>
      <w:r>
        <w:rPr>
          <w:rFonts w:hint="default"/>
          <w:b/>
          <w:bCs/>
          <w:sz w:val="21"/>
          <w:szCs w:val="21"/>
          <w:lang w:val="en-US"/>
        </w:rPr>
        <w:t xml:space="preserve">- For Small Data (&lt; 5,000 rows): </w:t>
      </w:r>
      <w:r>
        <w:rPr>
          <w:rFonts w:hint="default"/>
          <w:b w:val="0"/>
          <w:bCs w:val="0"/>
          <w:sz w:val="21"/>
          <w:szCs w:val="21"/>
          <w:lang w:val="en-US"/>
        </w:rPr>
        <w:t>Pure Python is the clear winner. It starts almost instantly and finishes the task before Spark can even finish "thinking" about how to organize the work.</w:t>
      </w:r>
    </w:p>
    <w:p w14:paraId="1F3AF401">
      <w:pPr>
        <w:spacing w:before="120" w:after="120"/>
        <w:rPr>
          <w:rFonts w:hint="default"/>
          <w:b w:val="0"/>
          <w:bCs w:val="0"/>
          <w:sz w:val="21"/>
          <w:szCs w:val="21"/>
          <w:lang w:val="en-US"/>
        </w:rPr>
      </w:pPr>
      <w:r>
        <w:rPr>
          <w:rFonts w:hint="default"/>
          <w:b/>
          <w:bCs/>
          <w:sz w:val="21"/>
          <w:szCs w:val="21"/>
          <w:lang w:val="en-US"/>
        </w:rPr>
        <w:t>- For Large Data (&gt; 8,000 rows)</w:t>
      </w:r>
      <w:r>
        <w:rPr>
          <w:rFonts w:hint="default"/>
          <w:b w:val="0"/>
          <w:bCs w:val="0"/>
          <w:sz w:val="21"/>
          <w:szCs w:val="21"/>
          <w:lang w:val="en-US"/>
        </w:rPr>
        <w:t>: Spark SQL takes the lead. As the dataset size doubles, Python's time doubles (linear growth), while Spark's time actually stays relatively flat or grows very slowly.</w:t>
      </w:r>
    </w:p>
    <w:p w14:paraId="48C02747">
      <w:pPr>
        <w:spacing w:before="120" w:after="120"/>
        <w:jc w:val="center"/>
      </w:pPr>
      <w:r>
        <w:drawing>
          <wp:inline distT="0" distB="0" distL="114300" distR="114300">
            <wp:extent cx="3376295" cy="1049655"/>
            <wp:effectExtent l="0" t="0" r="14605"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3376295" cy="1049655"/>
                    </a:xfrm>
                    <a:prstGeom prst="rect">
                      <a:avLst/>
                    </a:prstGeom>
                    <a:noFill/>
                    <a:ln>
                      <a:noFill/>
                    </a:ln>
                  </pic:spPr>
                </pic:pic>
              </a:graphicData>
            </a:graphic>
          </wp:inline>
        </w:drawing>
      </w:r>
    </w:p>
    <w:p w14:paraId="20EDFD42">
      <w:pPr>
        <w:spacing w:before="120" w:after="120"/>
        <w:rPr>
          <w:rFonts w:hint="default"/>
          <w:lang w:val="en-US"/>
        </w:rPr>
      </w:pPr>
    </w:p>
    <w:p w14:paraId="7B95AD5C">
      <w:pPr>
        <w:spacing w:before="120" w:after="120"/>
        <w:jc w:val="both"/>
        <w:rPr>
          <w:rFonts w:hint="default"/>
          <w:b/>
          <w:bCs/>
          <w:sz w:val="21"/>
          <w:szCs w:val="21"/>
          <w:lang w:val="en-US"/>
        </w:rPr>
      </w:pPr>
      <w:r>
        <w:rPr>
          <w:rFonts w:hint="default"/>
          <w:b/>
          <w:bCs/>
          <w:sz w:val="21"/>
          <w:szCs w:val="21"/>
          <w:lang w:val="en-US"/>
        </w:rPr>
        <w:t>Why is this happening? (The Technical Reasons) Why Python wins at small scale:</w:t>
      </w:r>
    </w:p>
    <w:p w14:paraId="60565DF2">
      <w:pPr>
        <w:spacing w:before="120" w:after="120"/>
        <w:jc w:val="both"/>
        <w:rPr>
          <w:rFonts w:hint="default"/>
          <w:b w:val="0"/>
          <w:bCs w:val="0"/>
          <w:sz w:val="21"/>
          <w:szCs w:val="21"/>
          <w:lang w:val="en-US"/>
        </w:rPr>
      </w:pPr>
      <w:r>
        <w:rPr>
          <w:rFonts w:hint="default"/>
          <w:b/>
          <w:bCs/>
          <w:sz w:val="21"/>
          <w:szCs w:val="21"/>
          <w:lang w:val="en-US"/>
        </w:rPr>
        <w:t xml:space="preserve">- Zero Overhead: </w:t>
      </w:r>
      <w:r>
        <w:rPr>
          <w:rFonts w:hint="default"/>
          <w:b w:val="0"/>
          <w:bCs w:val="0"/>
          <w:sz w:val="21"/>
          <w:szCs w:val="21"/>
          <w:lang w:val="en-US"/>
        </w:rPr>
        <w:t>Python’s csv.DictReader simply opens the file and starts reading the first line immediately.</w:t>
      </w:r>
    </w:p>
    <w:p w14:paraId="3CFA8703">
      <w:pPr>
        <w:spacing w:before="120" w:after="120"/>
        <w:jc w:val="both"/>
        <w:rPr>
          <w:rFonts w:hint="default"/>
          <w:b w:val="0"/>
          <w:bCs w:val="0"/>
          <w:sz w:val="21"/>
          <w:szCs w:val="21"/>
          <w:lang w:val="en-US"/>
        </w:rPr>
      </w:pPr>
      <w:r>
        <w:rPr>
          <w:rFonts w:hint="default"/>
          <w:b/>
          <w:bCs/>
          <w:sz w:val="21"/>
          <w:szCs w:val="21"/>
          <w:lang w:val="en-US"/>
        </w:rPr>
        <w:t xml:space="preserve">- No Coordination Cost: </w:t>
      </w:r>
      <w:r>
        <w:rPr>
          <w:rFonts w:hint="default"/>
          <w:b w:val="0"/>
          <w:bCs w:val="0"/>
          <w:sz w:val="21"/>
          <w:szCs w:val="21"/>
          <w:lang w:val="en-US"/>
        </w:rPr>
        <w:t>Since it is single-threaded, it doesn't have to spend time dividing the file into pieces or coordinating between different CPU cores.</w:t>
      </w:r>
    </w:p>
    <w:p w14:paraId="0C594E5E">
      <w:pPr>
        <w:spacing w:before="120" w:after="120"/>
        <w:jc w:val="both"/>
        <w:rPr>
          <w:rFonts w:hint="default"/>
          <w:b w:val="0"/>
          <w:bCs w:val="0"/>
          <w:sz w:val="21"/>
          <w:szCs w:val="21"/>
          <w:lang w:val="en-US"/>
        </w:rPr>
      </w:pPr>
      <w:r>
        <w:rPr>
          <w:rFonts w:hint="default"/>
          <w:b/>
          <w:bCs/>
          <w:sz w:val="21"/>
          <w:szCs w:val="21"/>
          <w:lang w:val="en-US"/>
        </w:rPr>
        <w:t>- Spark's "Startup Tax":</w:t>
      </w:r>
      <w:r>
        <w:rPr>
          <w:rFonts w:hint="default"/>
          <w:b w:val="0"/>
          <w:bCs w:val="0"/>
          <w:sz w:val="21"/>
          <w:szCs w:val="21"/>
          <w:lang w:val="en-US"/>
        </w:rPr>
        <w:t xml:space="preserve"> Spark is a massive engine running on the JVM (Java Virtual Machine). Even for 1 row, Spark must check the schema, build a logical execution plan, and schedule a "task" on a worker. This setup takes about 0.5 to 0.7 seconds regardless of data size. Why Spark SQL wins at large scale:</w:t>
      </w:r>
    </w:p>
    <w:p w14:paraId="52B43FB8">
      <w:pPr>
        <w:spacing w:before="120" w:after="120"/>
        <w:jc w:val="both"/>
        <w:rPr>
          <w:rFonts w:hint="default"/>
          <w:b w:val="0"/>
          <w:bCs w:val="0"/>
          <w:sz w:val="21"/>
          <w:szCs w:val="21"/>
          <w:lang w:val="en-US"/>
        </w:rPr>
      </w:pPr>
      <w:r>
        <w:rPr>
          <w:rFonts w:hint="default"/>
          <w:b/>
          <w:bCs/>
          <w:sz w:val="21"/>
          <w:szCs w:val="21"/>
          <w:lang w:val="en-US"/>
        </w:rPr>
        <w:t xml:space="preserve">- Parallelism: </w:t>
      </w:r>
      <w:r>
        <w:rPr>
          <w:rFonts w:hint="default"/>
          <w:b w:val="0"/>
          <w:bCs w:val="0"/>
          <w:sz w:val="21"/>
          <w:szCs w:val="21"/>
          <w:lang w:val="en-US"/>
        </w:rPr>
        <w:t>While Python is stuck reading one row at a time on a single CPU core, Spark breaks the 8,000+ rows into partitions and processes them across all your CPU cores simultaneously .</w:t>
      </w:r>
    </w:p>
    <w:p w14:paraId="6FB94513">
      <w:pPr>
        <w:spacing w:before="120" w:after="120"/>
        <w:jc w:val="both"/>
        <w:rPr>
          <w:rFonts w:hint="default"/>
          <w:b w:val="0"/>
          <w:bCs w:val="0"/>
          <w:sz w:val="21"/>
          <w:szCs w:val="21"/>
          <w:lang w:val="en-US"/>
        </w:rPr>
      </w:pPr>
      <w:r>
        <w:rPr>
          <w:rFonts w:hint="default"/>
          <w:b/>
          <w:bCs/>
          <w:sz w:val="21"/>
          <w:szCs w:val="21"/>
          <w:lang w:val="en-US"/>
        </w:rPr>
        <w:t xml:space="preserve">- The Catalyst Optimizer: </w:t>
      </w:r>
      <w:r>
        <w:rPr>
          <w:rFonts w:hint="default"/>
          <w:b w:val="0"/>
          <w:bCs w:val="0"/>
          <w:sz w:val="21"/>
          <w:szCs w:val="21"/>
          <w:lang w:val="en-US"/>
        </w:rPr>
        <w:t>Spark SQL doesn't just "read" the CSV. It analyzes the query SELECT Region, COUNT(*) . It realizes it only needs one column and ignores the other 100+ columns in your file. Python's DictReader parses the entire line into a dictionary, which is much heavier.</w:t>
      </w:r>
    </w:p>
    <w:p w14:paraId="65461CB0">
      <w:pPr>
        <w:spacing w:before="120" w:after="120"/>
        <w:jc w:val="both"/>
        <w:rPr>
          <w:rFonts w:hint="default"/>
          <w:b w:val="0"/>
          <w:bCs w:val="0"/>
          <w:sz w:val="21"/>
          <w:szCs w:val="21"/>
          <w:lang w:val="en-US"/>
        </w:rPr>
      </w:pPr>
      <w:r>
        <w:rPr>
          <w:rFonts w:hint="default"/>
          <w:b/>
          <w:bCs/>
          <w:sz w:val="21"/>
          <w:szCs w:val="21"/>
          <w:lang w:val="en-US"/>
        </w:rPr>
        <w:t>- Tungsten Engine:</w:t>
      </w:r>
      <w:r>
        <w:rPr>
          <w:rFonts w:hint="default"/>
          <w:b w:val="0"/>
          <w:bCs w:val="0"/>
          <w:sz w:val="21"/>
          <w:szCs w:val="21"/>
          <w:lang w:val="en-US"/>
        </w:rPr>
        <w:t xml:space="preserve"> Spark uses a specialized memory manager called Tungsten that stores data in compact binary format. This avoids "Garbage Collection" issues that slow down Python when it tries to manage thousands of individual string objects.</w:t>
      </w:r>
    </w:p>
    <w:p w14:paraId="059F3C98">
      <w:pPr>
        <w:spacing w:before="120" w:after="120"/>
        <w:jc w:val="both"/>
        <w:rPr>
          <w:rFonts w:hint="default"/>
          <w:b w:val="0"/>
          <w:bCs w:val="0"/>
          <w:sz w:val="21"/>
          <w:szCs w:val="21"/>
          <w:lang w:val="en-US"/>
        </w:rPr>
      </w:pPr>
    </w:p>
    <w:p w14:paraId="42D587F0">
      <w:pPr>
        <w:spacing w:before="120" w:after="120"/>
        <w:jc w:val="both"/>
        <w:rPr>
          <w:rFonts w:hint="default"/>
          <w:b w:val="0"/>
          <w:bCs w:val="0"/>
          <w:sz w:val="21"/>
          <w:szCs w:val="21"/>
          <w:lang w:val="en-US"/>
        </w:rPr>
      </w:pPr>
      <w:r>
        <w:rPr>
          <w:rFonts w:hint="default"/>
          <w:b w:val="0"/>
          <w:bCs w:val="0"/>
          <w:sz w:val="21"/>
          <w:szCs w:val="21"/>
          <w:lang w:val="en-US"/>
        </w:rPr>
        <w:t>The Crossover Point: In this specific project, the "efficiency crossover" happens at approximately 6,000 - 7,000 rows . Beyond this point, Spark is the superior choice for any energy data analysis.</w:t>
      </w:r>
    </w:p>
    <w:p w14:paraId="4A7F70EB">
      <w:pPr>
        <w:spacing w:before="120" w:after="120"/>
        <w:rPr>
          <w:rFonts w:hint="default"/>
          <w:b w:val="0"/>
          <w:bCs w:val="0"/>
          <w:sz w:val="21"/>
          <w:szCs w:val="21"/>
          <w:lang w:val="en-US"/>
        </w:rPr>
      </w:pPr>
    </w:p>
    <w:p w14:paraId="3774F09A">
      <w:pPr>
        <w:pStyle w:val="3"/>
      </w:pPr>
      <w:r>
        <w:rPr>
          <w:rFonts w:hint="default"/>
          <w:lang w:val="en-US"/>
        </w:rPr>
        <w:t>6</w:t>
      </w:r>
      <w:r>
        <w:t>.2 Results Summary</w:t>
      </w:r>
    </w:p>
    <w:p w14:paraId="208F3580">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32513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8C9E1" w:sz="0" w:space="0"/>
              <w:left w:val="single" w:color="B8C9E1" w:sz="0" w:space="0"/>
              <w:bottom w:val="single" w:color="B8C9E1" w:sz="0" w:space="0"/>
              <w:right w:val="single" w:color="B8C9E1" w:sz="0" w:space="0"/>
            </w:tcBorders>
            <w:shd w:val="clear" w:color="auto" w:fill="2E5D9E"/>
            <w:tcMar>
              <w:top w:w="100" w:type="dxa"/>
              <w:left w:w="140" w:type="dxa"/>
              <w:bottom w:w="100" w:type="dxa"/>
              <w:right w:w="140" w:type="dxa"/>
            </w:tcMar>
            <w:vAlign w:val="center"/>
          </w:tcPr>
          <w:p w14:paraId="729636BE">
            <w:pPr>
              <w:jc w:val="center"/>
            </w:pPr>
            <w:r>
              <w:rPr>
                <w:b/>
                <w:bCs/>
                <w:color w:val="FFFFFF"/>
                <w:sz w:val="20"/>
                <w:szCs w:val="20"/>
              </w:rPr>
              <w:t>Dataset Size</w:t>
            </w:r>
          </w:p>
        </w:tc>
        <w:tc>
          <w:tcPr>
            <w:tcW w:w="3120" w:type="dxa"/>
            <w:tcBorders>
              <w:top w:val="single" w:color="B8C9E1" w:sz="0" w:space="0"/>
              <w:left w:val="single" w:color="B8C9E1" w:sz="0" w:space="0"/>
              <w:bottom w:val="single" w:color="B8C9E1" w:sz="0" w:space="0"/>
              <w:right w:val="single" w:color="B8C9E1" w:sz="0" w:space="0"/>
            </w:tcBorders>
            <w:shd w:val="clear" w:color="auto" w:fill="2E5D9E"/>
            <w:tcMar>
              <w:top w:w="100" w:type="dxa"/>
              <w:left w:w="140" w:type="dxa"/>
              <w:bottom w:w="100" w:type="dxa"/>
              <w:right w:w="140" w:type="dxa"/>
            </w:tcMar>
            <w:vAlign w:val="center"/>
          </w:tcPr>
          <w:p w14:paraId="12E1AAE0">
            <w:pPr>
              <w:jc w:val="center"/>
            </w:pPr>
            <w:r>
              <w:rPr>
                <w:b/>
                <w:bCs/>
                <w:color w:val="FFFFFF"/>
                <w:sz w:val="20"/>
                <w:szCs w:val="20"/>
              </w:rPr>
              <w:t>Spark vs Python</w:t>
            </w:r>
          </w:p>
        </w:tc>
        <w:tc>
          <w:tcPr>
            <w:tcW w:w="3120" w:type="dxa"/>
            <w:tcBorders>
              <w:top w:val="single" w:color="B8C9E1" w:sz="0" w:space="0"/>
              <w:left w:val="single" w:color="B8C9E1" w:sz="0" w:space="0"/>
              <w:bottom w:val="single" w:color="B8C9E1" w:sz="0" w:space="0"/>
              <w:right w:val="single" w:color="B8C9E1" w:sz="0" w:space="0"/>
            </w:tcBorders>
            <w:shd w:val="clear" w:color="auto" w:fill="2E5D9E"/>
            <w:tcMar>
              <w:top w:w="100" w:type="dxa"/>
              <w:left w:w="140" w:type="dxa"/>
              <w:bottom w:w="100" w:type="dxa"/>
              <w:right w:w="140" w:type="dxa"/>
            </w:tcMar>
            <w:vAlign w:val="center"/>
          </w:tcPr>
          <w:p w14:paraId="56F6F5AD">
            <w:pPr>
              <w:jc w:val="center"/>
            </w:pPr>
            <w:r>
              <w:rPr>
                <w:b/>
                <w:bCs/>
                <w:color w:val="FFFFFF"/>
                <w:sz w:val="20"/>
                <w:szCs w:val="20"/>
              </w:rPr>
              <w:t>Reason</w:t>
            </w:r>
          </w:p>
        </w:tc>
      </w:tr>
      <w:tr w14:paraId="3C7D0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8C9E1" w:sz="0" w:space="0"/>
              <w:left w:val="single" w:color="B8C9E1" w:sz="0" w:space="0"/>
              <w:bottom w:val="single" w:color="B8C9E1" w:sz="0" w:space="0"/>
              <w:right w:val="single" w:color="B8C9E1" w:sz="0" w:space="0"/>
            </w:tcBorders>
            <w:shd w:val="clear" w:color="auto" w:fill="F2F6FC"/>
            <w:tcMar>
              <w:top w:w="80" w:type="dxa"/>
              <w:left w:w="140" w:type="dxa"/>
              <w:bottom w:w="80" w:type="dxa"/>
              <w:right w:w="140" w:type="dxa"/>
            </w:tcMar>
            <w:vAlign w:val="center"/>
          </w:tcPr>
          <w:p w14:paraId="1A751246">
            <w:r>
              <w:rPr>
                <w:b/>
                <w:bCs/>
                <w:sz w:val="20"/>
                <w:szCs w:val="20"/>
              </w:rPr>
              <w:t>Small Scale (&lt;1,000 rows)</w:t>
            </w:r>
          </w:p>
        </w:tc>
        <w:tc>
          <w:tcPr>
            <w:tcW w:w="3120" w:type="dxa"/>
            <w:tcBorders>
              <w:top w:val="single" w:color="B8C9E1" w:sz="0" w:space="0"/>
              <w:left w:val="single" w:color="B8C9E1" w:sz="0" w:space="0"/>
              <w:bottom w:val="single" w:color="B8C9E1" w:sz="0" w:space="0"/>
              <w:right w:val="single" w:color="B8C9E1" w:sz="0" w:space="0"/>
            </w:tcBorders>
            <w:shd w:val="clear" w:color="auto" w:fill="F2F6FC"/>
            <w:tcMar>
              <w:top w:w="80" w:type="dxa"/>
              <w:left w:w="140" w:type="dxa"/>
              <w:bottom w:w="80" w:type="dxa"/>
              <w:right w:w="140" w:type="dxa"/>
            </w:tcMar>
            <w:vAlign w:val="center"/>
          </w:tcPr>
          <w:p w14:paraId="6B50C73B">
            <w:r>
              <w:rPr>
                <w:sz w:val="20"/>
                <w:szCs w:val="20"/>
              </w:rPr>
              <w:t>Comparable / Slightly Slower</w:t>
            </w:r>
          </w:p>
        </w:tc>
        <w:tc>
          <w:tcPr>
            <w:tcW w:w="3120" w:type="dxa"/>
            <w:tcBorders>
              <w:top w:val="single" w:color="B8C9E1" w:sz="0" w:space="0"/>
              <w:left w:val="single" w:color="B8C9E1" w:sz="0" w:space="0"/>
              <w:bottom w:val="single" w:color="B8C9E1" w:sz="0" w:space="0"/>
              <w:right w:val="single" w:color="B8C9E1" w:sz="0" w:space="0"/>
            </w:tcBorders>
            <w:shd w:val="clear" w:color="auto" w:fill="F2F6FC"/>
            <w:tcMar>
              <w:top w:w="80" w:type="dxa"/>
              <w:left w:w="140" w:type="dxa"/>
              <w:bottom w:w="80" w:type="dxa"/>
              <w:right w:w="140" w:type="dxa"/>
            </w:tcMar>
            <w:vAlign w:val="center"/>
          </w:tcPr>
          <w:p w14:paraId="0B8B6474">
            <w:r>
              <w:rPr>
                <w:sz w:val="20"/>
                <w:szCs w:val="20"/>
              </w:rPr>
              <w:t>Startup overhead (JVM init)</w:t>
            </w:r>
          </w:p>
        </w:tc>
      </w:tr>
      <w:tr w14:paraId="53873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8C9E1" w:sz="0" w:space="0"/>
              <w:left w:val="single" w:color="B8C9E1" w:sz="0" w:space="0"/>
              <w:bottom w:val="single" w:color="B8C9E1" w:sz="0" w:space="0"/>
              <w:right w:val="single" w:color="B8C9E1" w:sz="0" w:space="0"/>
            </w:tcBorders>
            <w:shd w:val="clear" w:color="auto" w:fill="FFFFFF"/>
            <w:tcMar>
              <w:top w:w="80" w:type="dxa"/>
              <w:left w:w="140" w:type="dxa"/>
              <w:bottom w:w="80" w:type="dxa"/>
              <w:right w:w="140" w:type="dxa"/>
            </w:tcMar>
            <w:vAlign w:val="center"/>
          </w:tcPr>
          <w:p w14:paraId="2DFBDFE4">
            <w:r>
              <w:rPr>
                <w:b/>
                <w:bCs/>
                <w:sz w:val="20"/>
                <w:szCs w:val="20"/>
              </w:rPr>
              <w:t>Medium Scale</w:t>
            </w:r>
          </w:p>
        </w:tc>
        <w:tc>
          <w:tcPr>
            <w:tcW w:w="3120" w:type="dxa"/>
            <w:tcBorders>
              <w:top w:val="single" w:color="B8C9E1" w:sz="0" w:space="0"/>
              <w:left w:val="single" w:color="B8C9E1" w:sz="0" w:space="0"/>
              <w:bottom w:val="single" w:color="B8C9E1" w:sz="0" w:space="0"/>
              <w:right w:val="single" w:color="B8C9E1" w:sz="0" w:space="0"/>
            </w:tcBorders>
            <w:shd w:val="clear" w:color="auto" w:fill="FFFFFF"/>
            <w:tcMar>
              <w:top w:w="80" w:type="dxa"/>
              <w:left w:w="140" w:type="dxa"/>
              <w:bottom w:w="80" w:type="dxa"/>
              <w:right w:w="140" w:type="dxa"/>
            </w:tcMar>
            <w:vAlign w:val="center"/>
          </w:tcPr>
          <w:p w14:paraId="2F73BA3B">
            <w:r>
              <w:rPr>
                <w:sz w:val="20"/>
                <w:szCs w:val="20"/>
              </w:rPr>
              <w:t>Faster</w:t>
            </w:r>
          </w:p>
        </w:tc>
        <w:tc>
          <w:tcPr>
            <w:tcW w:w="3120" w:type="dxa"/>
            <w:tcBorders>
              <w:top w:val="single" w:color="B8C9E1" w:sz="0" w:space="0"/>
              <w:left w:val="single" w:color="B8C9E1" w:sz="0" w:space="0"/>
              <w:bottom w:val="single" w:color="B8C9E1" w:sz="0" w:space="0"/>
              <w:right w:val="single" w:color="B8C9E1" w:sz="0" w:space="0"/>
            </w:tcBorders>
            <w:shd w:val="clear" w:color="auto" w:fill="FFFFFF"/>
            <w:tcMar>
              <w:top w:w="80" w:type="dxa"/>
              <w:left w:w="140" w:type="dxa"/>
              <w:bottom w:w="80" w:type="dxa"/>
              <w:right w:w="140" w:type="dxa"/>
            </w:tcMar>
            <w:vAlign w:val="center"/>
          </w:tcPr>
          <w:p w14:paraId="24D1B538">
            <w:r>
              <w:rPr>
                <w:sz w:val="20"/>
                <w:szCs w:val="20"/>
              </w:rPr>
              <w:t>Lazy evaluation + optimizer</w:t>
            </w:r>
          </w:p>
        </w:tc>
      </w:tr>
      <w:tr w14:paraId="4E271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8C9E1" w:sz="0" w:space="0"/>
              <w:left w:val="single" w:color="B8C9E1" w:sz="0" w:space="0"/>
              <w:bottom w:val="single" w:color="B8C9E1" w:sz="0" w:space="0"/>
              <w:right w:val="single" w:color="B8C9E1" w:sz="0" w:space="0"/>
            </w:tcBorders>
            <w:shd w:val="clear" w:color="auto" w:fill="F2F6FC"/>
            <w:tcMar>
              <w:top w:w="80" w:type="dxa"/>
              <w:left w:w="140" w:type="dxa"/>
              <w:bottom w:w="80" w:type="dxa"/>
              <w:right w:w="140" w:type="dxa"/>
            </w:tcMar>
            <w:vAlign w:val="center"/>
          </w:tcPr>
          <w:p w14:paraId="03D35E9B">
            <w:r>
              <w:rPr>
                <w:b/>
                <w:bCs/>
                <w:sz w:val="20"/>
                <w:szCs w:val="20"/>
              </w:rPr>
              <w:t>Large Scale (100k+ rows)</w:t>
            </w:r>
          </w:p>
        </w:tc>
        <w:tc>
          <w:tcPr>
            <w:tcW w:w="3120" w:type="dxa"/>
            <w:tcBorders>
              <w:top w:val="single" w:color="B8C9E1" w:sz="0" w:space="0"/>
              <w:left w:val="single" w:color="B8C9E1" w:sz="0" w:space="0"/>
              <w:bottom w:val="single" w:color="B8C9E1" w:sz="0" w:space="0"/>
              <w:right w:val="single" w:color="B8C9E1" w:sz="0" w:space="0"/>
            </w:tcBorders>
            <w:shd w:val="clear" w:color="auto" w:fill="F2F6FC"/>
            <w:tcMar>
              <w:top w:w="80" w:type="dxa"/>
              <w:left w:w="140" w:type="dxa"/>
              <w:bottom w:w="80" w:type="dxa"/>
              <w:right w:w="140" w:type="dxa"/>
            </w:tcMar>
            <w:vAlign w:val="center"/>
          </w:tcPr>
          <w:p w14:paraId="5F43E710">
            <w:r>
              <w:rPr>
                <w:sz w:val="20"/>
                <w:szCs w:val="20"/>
              </w:rPr>
              <w:t>Significantly Faster</w:t>
            </w:r>
          </w:p>
        </w:tc>
        <w:tc>
          <w:tcPr>
            <w:tcW w:w="3120" w:type="dxa"/>
            <w:tcBorders>
              <w:top w:val="single" w:color="B8C9E1" w:sz="0" w:space="0"/>
              <w:left w:val="single" w:color="B8C9E1" w:sz="0" w:space="0"/>
              <w:bottom w:val="single" w:color="B8C9E1" w:sz="0" w:space="0"/>
              <w:right w:val="single" w:color="B8C9E1" w:sz="0" w:space="0"/>
            </w:tcBorders>
            <w:shd w:val="clear" w:color="auto" w:fill="F2F6FC"/>
            <w:tcMar>
              <w:top w:w="80" w:type="dxa"/>
              <w:left w:w="140" w:type="dxa"/>
              <w:bottom w:w="80" w:type="dxa"/>
              <w:right w:w="140" w:type="dxa"/>
            </w:tcMar>
            <w:vAlign w:val="center"/>
          </w:tcPr>
          <w:p w14:paraId="39BBF361">
            <w:r>
              <w:rPr>
                <w:sz w:val="20"/>
                <w:szCs w:val="20"/>
              </w:rPr>
              <w:t>Distributed parallelism</w:t>
            </w:r>
          </w:p>
        </w:tc>
      </w:tr>
    </w:tbl>
    <w:p w14:paraId="6D4F7038">
      <w:pPr>
        <w:spacing w:before="80" w:after="80"/>
      </w:pPr>
    </w:p>
    <w:p w14:paraId="25E7753E"/>
    <w:p w14:paraId="31884233">
      <w:pPr>
        <w:pStyle w:val="2"/>
      </w:pPr>
      <w:r>
        <w:rPr>
          <w:rFonts w:hint="default"/>
          <w:lang w:val="en-US"/>
        </w:rPr>
        <w:t>7</w:t>
      </w:r>
      <w:r>
        <w:t>. Results Summary</w:t>
      </w:r>
    </w:p>
    <w:p w14:paraId="54CC0F91">
      <w:pPr>
        <w:pBdr>
          <w:bottom w:val="single" w:color="2E75B6" w:sz="6" w:space="1"/>
        </w:pBdr>
      </w:pPr>
    </w:p>
    <w:p w14:paraId="4B515EC1">
      <w:pPr>
        <w:spacing w:before="60" w:after="60"/>
      </w:pPr>
    </w:p>
    <w:p w14:paraId="0818B964">
      <w:pPr>
        <w:spacing w:before="60" w:after="60"/>
        <w:jc w:val="both"/>
      </w:pPr>
      <w:r>
        <w:t>The following major outcomes were achieved through this project:</w:t>
      </w:r>
    </w:p>
    <w:p w14:paraId="0143BC53">
      <w:pPr>
        <w:pStyle w:val="21"/>
        <w:numPr>
          <w:ilvl w:val="0"/>
          <w:numId w:val="1"/>
        </w:numPr>
        <w:spacing w:before="40" w:after="40"/>
        <w:jc w:val="both"/>
      </w:pPr>
      <w:r>
        <w:t>Constructed a scalable PySpark ETL pipeline capable of processing large household survey datasets.</w:t>
      </w:r>
    </w:p>
    <w:p w14:paraId="2A6AC7EC">
      <w:pPr>
        <w:pStyle w:val="21"/>
        <w:numPr>
          <w:ilvl w:val="0"/>
          <w:numId w:val="1"/>
        </w:numPr>
        <w:spacing w:before="40" w:after="40"/>
        <w:jc w:val="both"/>
      </w:pPr>
      <w:r>
        <w:t>Validated correctness: Spark SQL and DataFrame APIs produce consistent aggregation results.</w:t>
      </w:r>
    </w:p>
    <w:p w14:paraId="2AC31F1F">
      <w:pPr>
        <w:pStyle w:val="21"/>
        <w:numPr>
          <w:ilvl w:val="0"/>
          <w:numId w:val="1"/>
        </w:numPr>
        <w:spacing w:before="40" w:after="40"/>
        <w:jc w:val="both"/>
      </w:pPr>
      <w:r>
        <w:t>Generated six unique analytical visualizations covering coverage, equity, connection rates, numeric distributions, 2D cross-factor studies, and infrastructure barriers.</w:t>
      </w:r>
    </w:p>
    <w:p w14:paraId="73B4DF91">
      <w:pPr>
        <w:pStyle w:val="21"/>
        <w:numPr>
          <w:ilvl w:val="0"/>
          <w:numId w:val="1"/>
        </w:numPr>
        <w:spacing w:before="40" w:after="40"/>
        <w:jc w:val="both"/>
      </w:pPr>
      <w:r>
        <w:t>Enforced strict data filtering to eliminate NULL, UNKNOWN, and empty label artifacts.</w:t>
      </w:r>
    </w:p>
    <w:p w14:paraId="369D1C09">
      <w:pPr>
        <w:pStyle w:val="21"/>
        <w:numPr>
          <w:ilvl w:val="0"/>
          <w:numId w:val="1"/>
        </w:numPr>
        <w:spacing w:before="40" w:after="40"/>
        <w:jc w:val="both"/>
      </w:pPr>
      <w:r>
        <w:t>Exported all visualizations as JPG files for consistent submission and portability.</w:t>
      </w:r>
    </w:p>
    <w:p w14:paraId="3D143BC4">
      <w:pPr>
        <w:spacing w:before="120" w:after="120"/>
      </w:pPr>
    </w:p>
    <w:p w14:paraId="64F1F0ED">
      <w:pPr>
        <w:pStyle w:val="2"/>
      </w:pPr>
      <w:r>
        <w:rPr>
          <w:rFonts w:hint="default"/>
          <w:lang w:val="en-US"/>
        </w:rPr>
        <w:t>8</w:t>
      </w:r>
      <w:r>
        <w:t>. Conclusion</w:t>
      </w:r>
    </w:p>
    <w:p w14:paraId="155EF0D5">
      <w:pPr>
        <w:pBdr>
          <w:bottom w:val="single" w:color="2E75B6" w:sz="6" w:space="1"/>
        </w:pBdr>
      </w:pPr>
    </w:p>
    <w:p w14:paraId="0F1C9F59">
      <w:pPr>
        <w:spacing w:before="60" w:after="60"/>
      </w:pPr>
    </w:p>
    <w:p w14:paraId="1950F796">
      <w:pPr>
        <w:spacing w:before="60" w:after="60"/>
        <w:jc w:val="both"/>
      </w:pPr>
      <w:r>
        <w:t>This project demonstrated that Apache Spark is an effective and scalable framework for large-scale survey analytics. Key takeaways include:</w:t>
      </w:r>
    </w:p>
    <w:p w14:paraId="50F86A22">
      <w:pPr>
        <w:pStyle w:val="21"/>
        <w:numPr>
          <w:ilvl w:val="0"/>
          <w:numId w:val="1"/>
        </w:numPr>
        <w:spacing w:before="40" w:after="40"/>
        <w:jc w:val="both"/>
      </w:pPr>
      <w:r>
        <w:t>Spark enables efficient ETL at scale with multiple parallel analysis pipelines.</w:t>
      </w:r>
    </w:p>
    <w:p w14:paraId="2AFCD03F">
      <w:pPr>
        <w:pStyle w:val="21"/>
        <w:numPr>
          <w:ilvl w:val="0"/>
          <w:numId w:val="1"/>
        </w:numPr>
        <w:spacing w:before="40" w:after="40"/>
        <w:jc w:val="both"/>
      </w:pPr>
      <w:r>
        <w:t>SQL and DataFrame interfaces yield equivalent results, providing flexibility without sacrificing correctness.</w:t>
      </w:r>
    </w:p>
    <w:p w14:paraId="3789A1CD">
      <w:pPr>
        <w:pStyle w:val="21"/>
        <w:numPr>
          <w:ilvl w:val="0"/>
          <w:numId w:val="1"/>
        </w:numPr>
        <w:spacing w:before="40" w:after="40"/>
        <w:jc w:val="both"/>
      </w:pPr>
      <w:r>
        <w:t>Strict data cleaning rules materially improve the quality and interpretability of visual outputs.</w:t>
      </w:r>
    </w:p>
    <w:p w14:paraId="4E72F3B7">
      <w:pPr>
        <w:pStyle w:val="21"/>
        <w:numPr>
          <w:ilvl w:val="0"/>
          <w:numId w:val="1"/>
        </w:numPr>
        <w:spacing w:before="40" w:after="40"/>
        <w:jc w:val="both"/>
      </w:pPr>
      <w:r>
        <w:t>Visual analytics provide evidence-based insights into energy access distribution across regions and districts, inequality factors (SEC category, rural/urban classification, education), and potential infrastructure barriers (distance, reasons for non-connection).</w:t>
      </w:r>
    </w:p>
    <w:p w14:paraId="6BBC7BFE">
      <w:pPr>
        <w:spacing w:before="80" w:after="80"/>
        <w:jc w:val="both"/>
      </w:pPr>
    </w:p>
    <w:p w14:paraId="1D599665">
      <w:pPr>
        <w:spacing w:before="60" w:after="60"/>
        <w:jc w:val="both"/>
      </w:pPr>
      <w:r>
        <w:rPr>
          <w:i/>
          <w:iCs/>
        </w:rPr>
        <w:t>As dataset sizes grow, Spark's distributed architecture delivers exponentially greater speedups over single-threaded Python, confirming its suitability as the foundation for large-scale data engineering workflows.</w:t>
      </w:r>
    </w:p>
    <w:sectPr>
      <w:headerReference r:id="rId3" w:type="default"/>
      <w:footerReference r:id="rId4" w:type="default"/>
      <w:pgSz w:w="12240" w:h="15840"/>
      <w:pgMar w:top="1080" w:right="1080" w:bottom="1080" w:left="1080" w:header="708" w:footer="708"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E7543">
    <w:pPr>
      <w:pBdr>
        <w:top w:val="single" w:color="2E75B6" w:sz="6" w:space="1"/>
      </w:pBdr>
      <w:tabs>
        <w:tab w:val="right" w:pos="9026"/>
      </w:tabs>
      <w:spacing w:before="60"/>
    </w:pPr>
    <w:r>
      <w:rPr>
        <w:color w:val="2E5D9E"/>
        <w:sz w:val="18"/>
        <w:szCs w:val="18"/>
      </w:rPr>
      <w:t>Parallel and Distributed Computing</w:t>
    </w:r>
    <w:r>
      <w:rPr>
        <w:color w:val="2E5D9E"/>
        <w:sz w:val="18"/>
        <w:szCs w:val="18"/>
      </w:rPr>
      <w:tab/>
    </w:r>
    <w:r>
      <w:rPr>
        <w:color w:val="2E5D9E"/>
        <w:sz w:val="18"/>
        <w:szCs w:val="18"/>
      </w:rPr>
      <w:t xml:space="preserve">Page </w:t>
    </w:r>
    <w:r>
      <w:rPr>
        <w:color w:val="2E5D9E"/>
        <w:sz w:val="18"/>
        <w:szCs w:val="18"/>
      </w:rPr>
      <w:fldChar w:fldCharType="begin"/>
    </w:r>
    <w:r>
      <w:rPr>
        <w:color w:val="2E5D9E"/>
        <w:sz w:val="18"/>
        <w:szCs w:val="18"/>
      </w:rPr>
      <w:instrText xml:space="preserve">PAGE</w:instrText>
    </w:r>
    <w:r>
      <w:rPr>
        <w:color w:val="2E5D9E"/>
        <w:sz w:val="18"/>
        <w:szCs w:val="18"/>
      </w:rPr>
      <w:fldChar w:fldCharType="separate"/>
    </w:r>
    <w:r>
      <w:rPr>
        <w:color w:val="2E5D9E"/>
        <w:sz w:val="18"/>
        <w:szCs w:val="18"/>
      </w:rPr>
      <w:t>1</w:t>
    </w:r>
    <w:r>
      <w:rPr>
        <w:color w:val="2E5D9E"/>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F9759">
    <w:pPr>
      <w:pBdr>
        <w:bottom w:val="single" w:color="2E75B6" w:sz="6" w:space="1"/>
      </w:pBdr>
      <w:spacing w:after="60"/>
    </w:pPr>
    <w:r>
      <w:rPr>
        <w:color w:val="2E5D9E"/>
        <w:sz w:val="18"/>
        <w:szCs w:val="18"/>
      </w:rPr>
      <w:t>PDC Project Report  —  Pakistan Energy Access Survey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514362"/>
    <w:multiLevelType w:val="multilevel"/>
    <w:tmpl w:val="4A514362"/>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7A862F8E"/>
    <w:multiLevelType w:val="multilevel"/>
    <w:tmpl w:val="7A862F8E"/>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E24"/>
    <w:rsid w:val="00620B6F"/>
    <w:rsid w:val="00774E24"/>
    <w:rsid w:val="00D01B3B"/>
    <w:rsid w:val="00E970FC"/>
    <w:rsid w:val="069A6F62"/>
    <w:rsid w:val="0F0D7E9A"/>
    <w:rsid w:val="11677C0D"/>
    <w:rsid w:val="39706EC7"/>
    <w:rsid w:val="3B980E56"/>
    <w:rsid w:val="471B1B26"/>
    <w:rsid w:val="47BF4B99"/>
    <w:rsid w:val="4C69488F"/>
    <w:rsid w:val="5E0019CA"/>
    <w:rsid w:val="734B6977"/>
    <w:rsid w:val="788A40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404040"/>
      <w:sz w:val="22"/>
      <w:szCs w:val="22"/>
      <w:lang w:val="en-US" w:eastAsia="en-US" w:bidi="ar-SA"/>
    </w:rPr>
  </w:style>
  <w:style w:type="paragraph" w:styleId="2">
    <w:name w:val="heading 1"/>
    <w:qFormat/>
    <w:uiPriority w:val="9"/>
    <w:pPr>
      <w:spacing w:before="300" w:after="80"/>
      <w:outlineLvl w:val="0"/>
    </w:pPr>
    <w:rPr>
      <w:rFonts w:ascii="Arial" w:hAnsi="Arial" w:eastAsia="Arial" w:cs="Arial"/>
      <w:b/>
      <w:bCs/>
      <w:color w:val="1F3864"/>
      <w:sz w:val="28"/>
      <w:szCs w:val="28"/>
      <w:lang w:val="en-US" w:eastAsia="en-US" w:bidi="ar-SA"/>
    </w:rPr>
  </w:style>
  <w:style w:type="paragraph" w:styleId="3">
    <w:name w:val="heading 2"/>
    <w:unhideWhenUsed/>
    <w:qFormat/>
    <w:uiPriority w:val="9"/>
    <w:pPr>
      <w:spacing w:before="240" w:after="60"/>
      <w:outlineLvl w:val="1"/>
    </w:pPr>
    <w:rPr>
      <w:rFonts w:ascii="Arial" w:hAnsi="Arial" w:eastAsia="Arial" w:cs="Arial"/>
      <w:b/>
      <w:bCs/>
      <w:color w:val="2E5D9E"/>
      <w:sz w:val="24"/>
      <w:szCs w:val="24"/>
      <w:lang w:val="en-US" w:eastAsia="en-US" w:bidi="ar-SA"/>
    </w:rPr>
  </w:style>
  <w:style w:type="paragraph" w:styleId="4">
    <w:name w:val="heading 3"/>
    <w:unhideWhenUsed/>
    <w:qFormat/>
    <w:uiPriority w:val="9"/>
    <w:pPr>
      <w:spacing w:before="180" w:after="60"/>
      <w:outlineLvl w:val="2"/>
    </w:pPr>
    <w:rPr>
      <w:rFonts w:ascii="Arial" w:hAnsi="Arial" w:eastAsia="Arial" w:cs="Arial"/>
      <w:b/>
      <w:bCs/>
      <w:color w:val="2E75B6"/>
      <w:sz w:val="22"/>
      <w:szCs w:val="22"/>
      <w:lang w:val="en-US" w:eastAsia="en-US" w:bidi="ar-SA"/>
    </w:rPr>
  </w:style>
  <w:style w:type="paragraph" w:styleId="5">
    <w:name w:val="heading 4"/>
    <w:semiHidden/>
    <w:unhideWhenUsed/>
    <w:qFormat/>
    <w:uiPriority w:val="9"/>
    <w:pPr>
      <w:outlineLvl w:val="3"/>
    </w:pPr>
    <w:rPr>
      <w:rFonts w:ascii="Arial" w:hAnsi="Arial" w:eastAsia="Arial" w:cs="Arial"/>
      <w:i/>
      <w:iCs/>
      <w:color w:val="2E74B5"/>
      <w:sz w:val="22"/>
      <w:szCs w:val="22"/>
      <w:lang w:val="en-US" w:eastAsia="en-US" w:bidi="ar-SA"/>
    </w:rPr>
  </w:style>
  <w:style w:type="paragraph" w:styleId="6">
    <w:name w:val="heading 5"/>
    <w:semiHidden/>
    <w:unhideWhenUsed/>
    <w:qFormat/>
    <w:uiPriority w:val="9"/>
    <w:pPr>
      <w:outlineLvl w:val="4"/>
    </w:pPr>
    <w:rPr>
      <w:rFonts w:ascii="Arial" w:hAnsi="Arial" w:eastAsia="Arial" w:cs="Arial"/>
      <w:color w:val="2E74B5"/>
      <w:sz w:val="22"/>
      <w:szCs w:val="22"/>
      <w:lang w:val="en-US" w:eastAsia="en-US" w:bidi="ar-SA"/>
    </w:rPr>
  </w:style>
  <w:style w:type="paragraph" w:styleId="7">
    <w:name w:val="heading 6"/>
    <w:semiHidden/>
    <w:unhideWhenUsed/>
    <w:qFormat/>
    <w:uiPriority w:val="9"/>
    <w:pPr>
      <w:outlineLvl w:val="5"/>
    </w:pPr>
    <w:rPr>
      <w:rFonts w:ascii="Arial" w:hAnsi="Arial" w:eastAsia="Arial" w:cs="Arial"/>
      <w:color w:val="1F4D78"/>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6"/>
    <w:semiHidden/>
    <w:unhideWhenUsed/>
    <w:qFormat/>
    <w:uiPriority w:val="99"/>
    <w:rPr>
      <w:rFonts w:ascii="Segoe UI" w:hAnsi="Segoe UI" w:cs="Segoe UI"/>
      <w:sz w:val="18"/>
      <w:szCs w:val="18"/>
    </w:rPr>
  </w:style>
  <w:style w:type="character" w:styleId="11">
    <w:name w:val="annotation reference"/>
    <w:basedOn w:val="8"/>
    <w:semiHidden/>
    <w:unhideWhenUsed/>
    <w:qFormat/>
    <w:uiPriority w:val="99"/>
    <w:rPr>
      <w:sz w:val="16"/>
      <w:szCs w:val="16"/>
    </w:rPr>
  </w:style>
  <w:style w:type="paragraph" w:styleId="12">
    <w:name w:val="annotation text"/>
    <w:basedOn w:val="1"/>
    <w:link w:val="24"/>
    <w:semiHidden/>
    <w:unhideWhenUsed/>
    <w:qFormat/>
    <w:uiPriority w:val="99"/>
    <w:rPr>
      <w:sz w:val="20"/>
      <w:szCs w:val="20"/>
    </w:rPr>
  </w:style>
  <w:style w:type="paragraph" w:styleId="13">
    <w:name w:val="annotation subject"/>
    <w:basedOn w:val="12"/>
    <w:next w:val="12"/>
    <w:link w:val="25"/>
    <w:semiHidden/>
    <w:unhideWhenUsed/>
    <w:qFormat/>
    <w:uiPriority w:val="99"/>
    <w:rPr>
      <w:b/>
      <w:bCs/>
    </w:rPr>
  </w:style>
  <w:style w:type="character" w:styleId="14">
    <w:name w:val="endnote reference"/>
    <w:semiHidden/>
    <w:unhideWhenUsed/>
    <w:qFormat/>
    <w:uiPriority w:val="99"/>
    <w:rPr>
      <w:vertAlign w:val="superscript"/>
    </w:rPr>
  </w:style>
  <w:style w:type="paragraph" w:styleId="15">
    <w:name w:val="endnote text"/>
    <w:link w:val="23"/>
    <w:semiHidden/>
    <w:unhideWhenUsed/>
    <w:qFormat/>
    <w:uiPriority w:val="99"/>
    <w:rPr>
      <w:rFonts w:ascii="Arial" w:hAnsi="Arial" w:eastAsia="Arial" w:cs="Arial"/>
      <w:color w:val="404040"/>
      <w:sz w:val="20"/>
      <w:szCs w:val="20"/>
      <w:lang w:val="en-US" w:eastAsia="en-US" w:bidi="ar-SA"/>
    </w:rPr>
  </w:style>
  <w:style w:type="character" w:styleId="16">
    <w:name w:val="footnote reference"/>
    <w:semiHidden/>
    <w:unhideWhenUsed/>
    <w:qFormat/>
    <w:uiPriority w:val="99"/>
    <w:rPr>
      <w:vertAlign w:val="superscript"/>
    </w:rPr>
  </w:style>
  <w:style w:type="paragraph" w:styleId="17">
    <w:name w:val="footnote text"/>
    <w:link w:val="22"/>
    <w:semiHidden/>
    <w:unhideWhenUsed/>
    <w:qFormat/>
    <w:uiPriority w:val="99"/>
    <w:rPr>
      <w:rFonts w:ascii="Arial" w:hAnsi="Arial" w:eastAsia="Arial" w:cs="Arial"/>
      <w:color w:val="404040"/>
      <w:sz w:val="20"/>
      <w:szCs w:val="20"/>
      <w:lang w:val="en-US" w:eastAsia="en-US" w:bidi="ar-SA"/>
    </w:rPr>
  </w:style>
  <w:style w:type="character" w:styleId="18">
    <w:name w:val="Hyperlink"/>
    <w:unhideWhenUsed/>
    <w:qFormat/>
    <w:uiPriority w:val="99"/>
    <w:rPr>
      <w:color w:val="0563C1"/>
      <w:u w:val="single"/>
    </w:rPr>
  </w:style>
  <w:style w:type="paragraph" w:styleId="19">
    <w:name w:val="Title"/>
    <w:qFormat/>
    <w:uiPriority w:val="10"/>
    <w:rPr>
      <w:rFonts w:ascii="Arial" w:hAnsi="Arial" w:eastAsia="Arial" w:cs="Arial"/>
      <w:color w:val="404040"/>
      <w:sz w:val="56"/>
      <w:szCs w:val="56"/>
      <w:lang w:val="en-US" w:eastAsia="en-US" w:bidi="ar-SA"/>
    </w:rPr>
  </w:style>
  <w:style w:type="paragraph" w:customStyle="1" w:styleId="20">
    <w:name w:val="Strong1"/>
    <w:qFormat/>
    <w:uiPriority w:val="0"/>
    <w:rPr>
      <w:rFonts w:ascii="Arial" w:hAnsi="Arial" w:eastAsia="Arial" w:cs="Arial"/>
      <w:b/>
      <w:bCs/>
      <w:color w:val="404040"/>
      <w:sz w:val="22"/>
      <w:szCs w:val="22"/>
      <w:lang w:val="en-US" w:eastAsia="en-US" w:bidi="ar-SA"/>
    </w:rPr>
  </w:style>
  <w:style w:type="paragraph" w:styleId="21">
    <w:name w:val="List Paragraph"/>
    <w:qFormat/>
    <w:uiPriority w:val="0"/>
    <w:rPr>
      <w:rFonts w:ascii="Arial" w:hAnsi="Arial" w:eastAsia="Arial" w:cs="Arial"/>
      <w:color w:val="404040"/>
      <w:sz w:val="22"/>
      <w:szCs w:val="22"/>
      <w:lang w:val="en-US" w:eastAsia="en-US" w:bidi="ar-SA"/>
    </w:rPr>
  </w:style>
  <w:style w:type="character" w:customStyle="1" w:styleId="22">
    <w:name w:val="Footnote Text Char"/>
    <w:link w:val="17"/>
    <w:semiHidden/>
    <w:unhideWhenUsed/>
    <w:qFormat/>
    <w:uiPriority w:val="99"/>
    <w:rPr>
      <w:sz w:val="20"/>
      <w:szCs w:val="20"/>
    </w:rPr>
  </w:style>
  <w:style w:type="character" w:customStyle="1" w:styleId="23">
    <w:name w:val="Endnote Text Char"/>
    <w:link w:val="15"/>
    <w:semiHidden/>
    <w:unhideWhenUsed/>
    <w:qFormat/>
    <w:uiPriority w:val="99"/>
    <w:rPr>
      <w:sz w:val="20"/>
      <w:szCs w:val="20"/>
    </w:rPr>
  </w:style>
  <w:style w:type="character" w:customStyle="1" w:styleId="24">
    <w:name w:val="Comment Text Char"/>
    <w:basedOn w:val="8"/>
    <w:link w:val="12"/>
    <w:semiHidden/>
    <w:qFormat/>
    <w:uiPriority w:val="99"/>
    <w:rPr>
      <w:sz w:val="20"/>
      <w:szCs w:val="20"/>
    </w:rPr>
  </w:style>
  <w:style w:type="character" w:customStyle="1" w:styleId="25">
    <w:name w:val="Comment Subject Char"/>
    <w:basedOn w:val="24"/>
    <w:link w:val="13"/>
    <w:semiHidden/>
    <w:qFormat/>
    <w:uiPriority w:val="99"/>
    <w:rPr>
      <w:b/>
      <w:bCs/>
      <w:sz w:val="20"/>
      <w:szCs w:val="20"/>
    </w:rPr>
  </w:style>
  <w:style w:type="character" w:customStyle="1" w:styleId="26">
    <w:name w:val="Balloon Text Char"/>
    <w:basedOn w:val="8"/>
    <w:link w:val="10"/>
    <w:semiHidden/>
    <w:qFormat/>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8AB0F-A386-4332-A656-F7D63926E94D}">
  <ds:schemaRefs/>
</ds:datastoreItem>
</file>

<file path=docProps/app.xml><?xml version="1.0" encoding="utf-8"?>
<Properties xmlns="http://schemas.openxmlformats.org/officeDocument/2006/extended-properties" xmlns:vt="http://schemas.openxmlformats.org/officeDocument/2006/docPropsVTypes">
  <Template>Normal.dotm</Template>
  <Pages>9</Pages>
  <Words>1668</Words>
  <Characters>9514</Characters>
  <Lines>79</Lines>
  <Paragraphs>22</Paragraphs>
  <TotalTime>149</TotalTime>
  <ScaleCrop>false</ScaleCrop>
  <LinksUpToDate>false</LinksUpToDate>
  <CharactersWithSpaces>11160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2026-05-03T10:08:00Z</dcterms:created>
  <dc:creator>Un-named</dc:creator>
  <cp:lastModifiedBy>WPS_1763189093</cp:lastModifiedBy>
  <dcterms:modified xsi:type="dcterms:W3CDTF">2026-05-03T17:59:54Z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f3ee46d9-bf3d-4f95-ae6c-575b11af42aa</vt:lpwstr>
  </property>
  <property fmtid="{D5CDD505-2E9C-101B-9397-08002B2CF9AE}" pid="3" name="KSOProductBuildVer">
    <vt:lpwstr>2057-12.2.0.23202</vt:lpwstr>
  </property>
  <property fmtid="{D5CDD505-2E9C-101B-9397-08002B2CF9AE}" pid="4" name="ICV">
    <vt:lpwstr>A13256D4ECB24B0BA5B9CC2AA43A182E_13</vt:lpwstr>
  </property>
</Properties>
</file>