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4CB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360" w:type="dxa"/>
            <w:tcBorders>
              <w:top w:val="nil"/>
              <w:left w:val="nil"/>
              <w:bottom w:val="nil"/>
              <w:right w:val="nil"/>
            </w:tcBorders>
            <w:shd w:val="clear" w:color="auto" w:fill="1F3864"/>
            <w:tcMar>
              <w:top w:w="600" w:type="dxa"/>
              <w:left w:w="400" w:type="dxa"/>
              <w:bottom w:w="400" w:type="dxa"/>
              <w:right w:w="400" w:type="dxa"/>
            </w:tcMar>
          </w:tcPr>
          <w:p w14:paraId="33319822">
            <w:pPr>
              <w:spacing w:after="80"/>
              <w:jc w:val="center"/>
            </w:pPr>
            <w:r>
              <w:rPr>
                <w:b/>
                <w:bCs/>
                <w:color w:val="FFFFFF"/>
                <w:sz w:val="52"/>
                <w:szCs w:val="52"/>
              </w:rPr>
              <w:t>PROJECT REPORT</w:t>
            </w:r>
          </w:p>
          <w:p w14:paraId="463F2317">
            <w:pPr>
              <w:spacing w:after="60"/>
              <w:jc w:val="center"/>
            </w:pPr>
            <w:r>
              <w:rPr>
                <w:i/>
                <w:iCs/>
                <w:color w:val="C5D8F5"/>
                <w:sz w:val="30"/>
                <w:szCs w:val="30"/>
              </w:rPr>
              <w:t>Parallel and Distributed Computing</w:t>
            </w:r>
          </w:p>
        </w:tc>
      </w:tr>
      <w:tr w14:paraId="0F42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9360" w:type="dxa"/>
            <w:tcBorders>
              <w:top w:val="nil"/>
              <w:left w:val="nil"/>
              <w:bottom w:val="nil"/>
              <w:right w:val="nil"/>
            </w:tcBorders>
            <w:shd w:val="clear" w:color="auto" w:fill="2E5D9E"/>
            <w:tcMar>
              <w:top w:w="200" w:type="dxa"/>
              <w:left w:w="400" w:type="dxa"/>
              <w:bottom w:w="200" w:type="dxa"/>
              <w:right w:w="400" w:type="dxa"/>
            </w:tcMar>
          </w:tcPr>
          <w:p w14:paraId="7D3E9519">
            <w:pPr>
              <w:jc w:val="center"/>
            </w:pPr>
            <w:r>
              <w:rPr>
                <w:b/>
                <w:bCs/>
                <w:color w:val="FFFFFF"/>
                <w:sz w:val="26"/>
                <w:szCs w:val="26"/>
              </w:rPr>
              <w:t>Pakistan Energy Access Survey Analysis using PySpark</w:t>
            </w:r>
          </w:p>
          <w:p w14:paraId="4468E2D5">
            <w:pPr>
              <w:spacing w:before="80"/>
              <w:jc w:val="center"/>
            </w:pPr>
            <w:r>
              <w:rPr>
                <w:i/>
                <w:iCs/>
                <w:color w:val="D6E4F7"/>
              </w:rPr>
              <w:t>ETL + Benchmarking + Visual Analytics</w:t>
            </w:r>
          </w:p>
        </w:tc>
      </w:tr>
    </w:tbl>
    <w:p w14:paraId="738949A6">
      <w:pPr>
        <w:spacing w:before="200" w:after="20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14:paraId="5D6F9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203922EC">
            <w:pPr>
              <w:jc w:val="center"/>
            </w:pPr>
            <w:r>
              <w:rPr>
                <w:b/>
                <w:bCs/>
                <w:color w:val="FFFFFF"/>
                <w:sz w:val="20"/>
                <w:szCs w:val="20"/>
              </w:rPr>
              <w:t>Field</w:t>
            </w:r>
          </w:p>
        </w:tc>
        <w:tc>
          <w:tcPr>
            <w:tcW w:w="716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7FEB457A">
            <w:pPr>
              <w:jc w:val="center"/>
            </w:pPr>
            <w:r>
              <w:rPr>
                <w:b/>
                <w:bCs/>
                <w:color w:val="FFFFFF"/>
                <w:sz w:val="20"/>
                <w:szCs w:val="20"/>
              </w:rPr>
              <w:t>Details</w:t>
            </w:r>
          </w:p>
        </w:tc>
      </w:tr>
      <w:tr w14:paraId="18C1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253FA52E">
            <w:r>
              <w:rPr>
                <w:b/>
                <w:bCs/>
                <w:sz w:val="20"/>
                <w:szCs w:val="20"/>
              </w:rPr>
              <w:t>Group Members</w:t>
            </w:r>
          </w:p>
        </w:tc>
        <w:tc>
          <w:tcPr>
            <w:tcW w:w="716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3D3D2C65">
            <w:r>
              <w:rPr>
                <w:sz w:val="20"/>
                <w:szCs w:val="20"/>
              </w:rPr>
              <w:t>Insa Saleem – 043  |  Isra Asif – 045  |  Maria Yasmeen – 059</w:t>
            </w:r>
          </w:p>
        </w:tc>
      </w:tr>
      <w:tr w14:paraId="64841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43665891">
            <w:r>
              <w:rPr>
                <w:b/>
                <w:bCs/>
                <w:sz w:val="20"/>
                <w:szCs w:val="20"/>
              </w:rPr>
              <w:t>Submitted To</w:t>
            </w:r>
          </w:p>
        </w:tc>
        <w:tc>
          <w:tcPr>
            <w:tcW w:w="716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7057C431">
            <w:r>
              <w:rPr>
                <w:sz w:val="20"/>
                <w:szCs w:val="20"/>
              </w:rPr>
              <w:t>Mam Madiha Wahid</w:t>
            </w:r>
          </w:p>
        </w:tc>
      </w:tr>
      <w:tr w14:paraId="3F232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01121DE8">
            <w:r>
              <w:rPr>
                <w:b/>
                <w:bCs/>
                <w:sz w:val="20"/>
                <w:szCs w:val="20"/>
              </w:rPr>
              <w:t>Tools</w:t>
            </w:r>
          </w:p>
        </w:tc>
        <w:tc>
          <w:tcPr>
            <w:tcW w:w="716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739712A2">
            <w:r>
              <w:rPr>
                <w:sz w:val="20"/>
                <w:szCs w:val="20"/>
              </w:rPr>
              <w:t>PySpark, Spark SQL, Python, Matplotlib, Jupyter / VS Code</w:t>
            </w:r>
          </w:p>
        </w:tc>
      </w:tr>
      <w:tr w14:paraId="4B023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2C0F875F">
            <w:r>
              <w:rPr>
                <w:b/>
                <w:bCs/>
                <w:sz w:val="20"/>
                <w:szCs w:val="20"/>
              </w:rPr>
              <w:t>Outputs</w:t>
            </w:r>
          </w:p>
        </w:tc>
        <w:tc>
          <w:tcPr>
            <w:tcW w:w="716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34B1AA87">
            <w:r>
              <w:rPr>
                <w:sz w:val="20"/>
                <w:szCs w:val="20"/>
              </w:rPr>
              <w:t>CSV + JSONL exports, JPG graphs in etl_output/plots/jpg/</w:t>
            </w:r>
          </w:p>
        </w:tc>
      </w:tr>
    </w:tbl>
    <w:p w14:paraId="45109685">
      <w:r>
        <w:br w:type="page"/>
      </w:r>
    </w:p>
    <w:p w14:paraId="297D5AFC">
      <w:pPr>
        <w:pStyle w:val="2"/>
      </w:pPr>
      <w:r>
        <w:t>1. Introduction</w:t>
      </w:r>
    </w:p>
    <w:p w14:paraId="22D5CEAF">
      <w:pPr>
        <w:pBdr>
          <w:bottom w:val="single" w:color="2E75B6" w:sz="6" w:space="1"/>
        </w:pBdr>
      </w:pPr>
    </w:p>
    <w:p w14:paraId="48DE2CAD">
      <w:pPr>
        <w:spacing w:before="60" w:after="60"/>
      </w:pPr>
    </w:p>
    <w:p w14:paraId="72C61486">
      <w:pPr>
        <w:pStyle w:val="3"/>
      </w:pPr>
      <w:r>
        <w:t>1.1 Motivation</w:t>
      </w:r>
    </w:p>
    <w:p w14:paraId="11596EA8">
      <w:pPr>
        <w:spacing w:before="60" w:after="60"/>
        <w:jc w:val="both"/>
      </w:pPr>
      <w:r>
        <w:t>Energy access is a critical development indicator affecting quality of life, productivity, education, and health. Analyzing household survey data at scale presents several challenges:</w:t>
      </w:r>
    </w:p>
    <w:p w14:paraId="2FF2C23F">
      <w:pPr>
        <w:pStyle w:val="21"/>
        <w:numPr>
          <w:ilvl w:val="0"/>
          <w:numId w:val="1"/>
        </w:numPr>
        <w:spacing w:before="40" w:after="40"/>
      </w:pPr>
      <w:r>
        <w:t>Survey datasets are large and messy, containing missing values, inconsistent categories, and mixed data types.</w:t>
      </w:r>
    </w:p>
    <w:p w14:paraId="44C14153">
      <w:pPr>
        <w:pStyle w:val="21"/>
        <w:numPr>
          <w:ilvl w:val="0"/>
          <w:numId w:val="1"/>
        </w:numPr>
        <w:spacing w:before="40" w:after="40"/>
      </w:pPr>
      <w:r>
        <w:t>Scalable processing frameworks such as Apache Spark are required for efficient computation.</w:t>
      </w:r>
    </w:p>
    <w:p w14:paraId="3F9767F8">
      <w:pPr>
        <w:pStyle w:val="21"/>
        <w:numPr>
          <w:ilvl w:val="0"/>
          <w:numId w:val="1"/>
        </w:numPr>
        <w:spacing w:before="40" w:after="40"/>
      </w:pPr>
      <w:r>
        <w:t>Result correctness must be validated across multiple query interfaces (SQL vs. DataFrame).</w:t>
      </w:r>
    </w:p>
    <w:p w14:paraId="0BEDCA78">
      <w:pPr>
        <w:pStyle w:val="21"/>
        <w:numPr>
          <w:ilvl w:val="0"/>
          <w:numId w:val="1"/>
        </w:numPr>
        <w:spacing w:before="40" w:after="40"/>
      </w:pPr>
      <w:r>
        <w:t>Meaningful analytics depend on clean, filtered data and informative visual representations.</w:t>
      </w:r>
    </w:p>
    <w:p w14:paraId="63CA3C36">
      <w:pPr>
        <w:spacing w:before="120" w:after="120"/>
      </w:pPr>
    </w:p>
    <w:p w14:paraId="375551D8">
      <w:pPr>
        <w:pStyle w:val="3"/>
      </w:pPr>
      <w:r>
        <w:t>1.2 Problem Statement</w:t>
      </w:r>
    </w:p>
    <w:p w14:paraId="0BC1DE9C">
      <w:pPr>
        <w:spacing w:before="60" w:after="60"/>
        <w:jc w:val="both"/>
      </w:pPr>
      <w:r>
        <w:t>Given a large-scale household energy access survey dataset, this project addresses the following objectives:</w:t>
      </w:r>
    </w:p>
    <w:p w14:paraId="4D207D06">
      <w:pPr>
        <w:pStyle w:val="21"/>
        <w:numPr>
          <w:ilvl w:val="0"/>
          <w:numId w:val="2"/>
        </w:numPr>
        <w:spacing w:before="40" w:after="40"/>
      </w:pPr>
      <w:r>
        <w:t>Build a clean, robust ETL pipeline using PySpark.</w:t>
      </w:r>
    </w:p>
    <w:p w14:paraId="16BFE044">
      <w:pPr>
        <w:pStyle w:val="21"/>
        <w:numPr>
          <w:ilvl w:val="0"/>
          <w:numId w:val="2"/>
        </w:numPr>
        <w:spacing w:before="40" w:after="40"/>
      </w:pPr>
      <w:r>
        <w:t>Validate equivalence between Spark SQL and Spark DataFrame query results.</w:t>
      </w:r>
    </w:p>
    <w:p w14:paraId="3C06AB3B">
      <w:pPr>
        <w:pStyle w:val="21"/>
        <w:numPr>
          <w:ilvl w:val="0"/>
          <w:numId w:val="2"/>
        </w:numPr>
        <w:spacing w:before="40" w:after="40"/>
      </w:pPr>
      <w:r>
        <w:t>Benchmark Spark against a pure Python baseline across varying dataset sizes.</w:t>
      </w:r>
    </w:p>
    <w:p w14:paraId="7479094F">
      <w:pPr>
        <w:pStyle w:val="21"/>
        <w:numPr>
          <w:ilvl w:val="0"/>
          <w:numId w:val="2"/>
        </w:numPr>
        <w:spacing w:before="40" w:after="40"/>
      </w:pPr>
      <w:r>
        <w:t>Generate diverse analytical visualizations using only validated, non-null data.</w:t>
      </w:r>
    </w:p>
    <w:p w14:paraId="3CFFA1AB"/>
    <w:p w14:paraId="46AA01F4">
      <w:pPr>
        <w:pStyle w:val="2"/>
      </w:pPr>
      <w:r>
        <w:t>2. Dataset Overview</w:t>
      </w:r>
    </w:p>
    <w:p w14:paraId="01587EDA">
      <w:pPr>
        <w:pBdr>
          <w:bottom w:val="single" w:color="2E75B6" w:sz="6" w:space="1"/>
        </w:pBdr>
      </w:pPr>
    </w:p>
    <w:p w14:paraId="3B9C171E">
      <w:pPr>
        <w:spacing w:before="60" w:after="60"/>
      </w:pPr>
    </w:p>
    <w:p w14:paraId="634DB05A">
      <w:pPr>
        <w:spacing w:before="60" w:after="60"/>
        <w:jc w:val="both"/>
      </w:pPr>
      <w:r>
        <w:t>The dataset is the Pakistan Energy Access Household Panel Survey. It captures a wide range of socioeconomic and infrastructure indicators at the household level. The table below summarizes the key fields:</w:t>
      </w:r>
    </w:p>
    <w:p w14:paraId="2AB64B56">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3EE1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2DDE258F">
            <w:pPr>
              <w:jc w:val="center"/>
            </w:pPr>
            <w:r>
              <w:rPr>
                <w:b/>
                <w:bCs/>
                <w:color w:val="FFFFFF"/>
                <w:sz w:val="20"/>
                <w:szCs w:val="20"/>
              </w:rPr>
              <w:t>Category</w:t>
            </w:r>
          </w:p>
        </w:tc>
        <w:tc>
          <w:tcPr>
            <w:tcW w:w="656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1B0C4F07">
            <w:pPr>
              <w:jc w:val="center"/>
            </w:pPr>
            <w:r>
              <w:rPr>
                <w:b/>
                <w:bCs/>
                <w:color w:val="FFFFFF"/>
                <w:sz w:val="20"/>
                <w:szCs w:val="20"/>
              </w:rPr>
              <w:t>Fields</w:t>
            </w:r>
          </w:p>
        </w:tc>
      </w:tr>
      <w:tr w14:paraId="7D4A2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57A3AA43">
            <w:r>
              <w:rPr>
                <w:b/>
                <w:bCs/>
                <w:sz w:val="20"/>
                <w:szCs w:val="20"/>
              </w:rPr>
              <w:t>Geographic</w:t>
            </w:r>
          </w:p>
        </w:tc>
        <w:tc>
          <w:tcPr>
            <w:tcW w:w="656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675A47C1">
            <w:r>
              <w:rPr>
                <w:sz w:val="20"/>
                <w:szCs w:val="20"/>
              </w:rPr>
              <w:t>Region, District, Cultural Belt</w:t>
            </w:r>
          </w:p>
        </w:tc>
      </w:tr>
      <w:tr w14:paraId="4254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551EC600">
            <w:r>
              <w:rPr>
                <w:b/>
                <w:bCs/>
                <w:sz w:val="20"/>
                <w:szCs w:val="20"/>
              </w:rPr>
              <w:t>Demographics</w:t>
            </w:r>
          </w:p>
        </w:tc>
        <w:tc>
          <w:tcPr>
            <w:tcW w:w="656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0C811641">
            <w:r>
              <w:rPr>
                <w:sz w:val="20"/>
                <w:szCs w:val="20"/>
              </w:rPr>
              <w:t>Gender, Household Size, Education of Head</w:t>
            </w:r>
          </w:p>
        </w:tc>
      </w:tr>
      <w:tr w14:paraId="17ADC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576C3E57">
            <w:r>
              <w:rPr>
                <w:b/>
                <w:bCs/>
                <w:sz w:val="20"/>
                <w:szCs w:val="20"/>
              </w:rPr>
              <w:t>Housing</w:t>
            </w:r>
          </w:p>
        </w:tc>
        <w:tc>
          <w:tcPr>
            <w:tcW w:w="656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6D16C8D4">
            <w:r>
              <w:rPr>
                <w:sz w:val="20"/>
                <w:szCs w:val="20"/>
              </w:rPr>
              <w:t>Housing Type, Rooms, Rent vs Owned</w:t>
            </w:r>
          </w:p>
        </w:tc>
      </w:tr>
      <w:tr w14:paraId="368BB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3B8BE0F1">
            <w:r>
              <w:rPr>
                <w:b/>
                <w:bCs/>
                <w:sz w:val="20"/>
                <w:szCs w:val="20"/>
              </w:rPr>
              <w:t>Energy</w:t>
            </w:r>
          </w:p>
        </w:tc>
        <w:tc>
          <w:tcPr>
            <w:tcW w:w="656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22BAC68E">
            <w:r>
              <w:rPr>
                <w:sz w:val="20"/>
                <w:szCs w:val="20"/>
              </w:rPr>
              <w:t>Electricity Source, Monthly Spend</w:t>
            </w:r>
          </w:p>
        </w:tc>
      </w:tr>
      <w:tr w14:paraId="31BBC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2B0033A0">
            <w:r>
              <w:rPr>
                <w:b/>
                <w:bCs/>
                <w:sz w:val="20"/>
                <w:szCs w:val="20"/>
              </w:rPr>
              <w:t>Infrastructure</w:t>
            </w:r>
          </w:p>
        </w:tc>
        <w:tc>
          <w:tcPr>
            <w:tcW w:w="656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0E354DEA">
            <w:r>
              <w:rPr>
                <w:sz w:val="20"/>
                <w:szCs w:val="20"/>
              </w:rPr>
              <w:t>Distance to Nearest Connected Household (km)</w:t>
            </w:r>
          </w:p>
        </w:tc>
      </w:tr>
      <w:tr w14:paraId="31DD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3559BD4E">
            <w:r>
              <w:rPr>
                <w:b/>
                <w:bCs/>
                <w:sz w:val="20"/>
                <w:szCs w:val="20"/>
              </w:rPr>
              <w:t>Connectivity</w:t>
            </w:r>
          </w:p>
        </w:tc>
        <w:tc>
          <w:tcPr>
            <w:tcW w:w="656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14E83099">
            <w:r>
              <w:rPr>
                <w:sz w:val="20"/>
                <w:szCs w:val="20"/>
              </w:rPr>
              <w:t>Connection Status to Grid / Mini-Grid</w:t>
            </w:r>
          </w:p>
        </w:tc>
      </w:tr>
    </w:tbl>
    <w:p w14:paraId="34666A1B"/>
    <w:p w14:paraId="06112FA7">
      <w:pPr>
        <w:jc w:val="center"/>
        <w:rPr>
          <w:rFonts w:ascii="Calibri" w:hAnsi="Calibri" w:eastAsia="Calibri" w:cs="Calibri"/>
          <w:sz w:val="24"/>
          <w:szCs w:val="24"/>
        </w:rPr>
      </w:pPr>
      <w:r>
        <w:rPr>
          <w:rFonts w:ascii="Calibri" w:hAnsi="Calibri" w:eastAsia="Calibri" w:cs="Calibri"/>
          <w:sz w:val="24"/>
          <w:szCs w:val="24"/>
        </w:rPr>
        <w:t>e</w:t>
      </w:r>
      <w:r>
        <w:rPr>
          <w:rFonts w:ascii="Calibri" w:hAnsi="Calibri" w:eastAsia="Calibri" w:cs="Calibri"/>
          <w:sz w:val="24"/>
          <w:szCs w:val="24"/>
        </w:rPr>
        <w:drawing>
          <wp:inline distT="114300" distB="114300" distL="114300" distR="114300">
            <wp:extent cx="5471160" cy="2270760"/>
            <wp:effectExtent l="19050" t="19050" r="15240" b="15240"/>
            <wp:docPr id="19" name="image16.png"/>
            <wp:cNvGraphicFramePr/>
            <a:graphic xmlns:a="http://schemas.openxmlformats.org/drawingml/2006/main">
              <a:graphicData uri="http://schemas.openxmlformats.org/drawingml/2006/picture">
                <pic:pic xmlns:pic="http://schemas.openxmlformats.org/drawingml/2006/picture">
                  <pic:nvPicPr>
                    <pic:cNvPr id="19" name="image16.png"/>
                    <pic:cNvPicPr preferRelativeResize="0"/>
                  </pic:nvPicPr>
                  <pic:blipFill>
                    <a:blip r:embed="rId6"/>
                    <a:srcRect/>
                    <a:stretch>
                      <a:fillRect/>
                    </a:stretch>
                  </pic:blipFill>
                  <pic:spPr>
                    <a:xfrm>
                      <a:off x="0" y="0"/>
                      <a:ext cx="5471160" cy="2270760"/>
                    </a:xfrm>
                    <a:prstGeom prst="rect">
                      <a:avLst/>
                    </a:prstGeom>
                    <a:ln>
                      <a:solidFill>
                        <a:schemeClr val="tx1"/>
                      </a:solidFill>
                    </a:ln>
                  </pic:spPr>
                </pic:pic>
              </a:graphicData>
            </a:graphic>
          </wp:inline>
        </w:drawing>
      </w:r>
    </w:p>
    <w:p w14:paraId="1EEA89F8">
      <w:pPr>
        <w:jc w:val="center"/>
      </w:pPr>
      <w:r>
        <w:rPr>
          <w:rFonts w:ascii="Calibri" w:hAnsi="Calibri" w:eastAsia="Calibri" w:cs="Calibri"/>
          <w:sz w:val="24"/>
          <w:szCs w:val="24"/>
        </w:rPr>
        <w:drawing>
          <wp:inline distT="114300" distB="114300" distL="114300" distR="114300">
            <wp:extent cx="5448300" cy="2880360"/>
            <wp:effectExtent l="19050" t="19050" r="19050" b="1524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7"/>
                    <a:srcRect b="6235"/>
                    <a:stretch>
                      <a:fillRect/>
                    </a:stretch>
                  </pic:blipFill>
                  <pic:spPr>
                    <a:xfrm>
                      <a:off x="0" y="0"/>
                      <a:ext cx="5448300" cy="2880360"/>
                    </a:xfrm>
                    <a:prstGeom prst="rect">
                      <a:avLst/>
                    </a:prstGeom>
                    <a:ln>
                      <a:solidFill>
                        <a:schemeClr val="tx1"/>
                      </a:solidFill>
                    </a:ln>
                  </pic:spPr>
                </pic:pic>
              </a:graphicData>
            </a:graphic>
          </wp:inline>
        </w:drawing>
      </w:r>
    </w:p>
    <w:p w14:paraId="41390EC8">
      <w:r>
        <w:br w:type="page"/>
      </w:r>
    </w:p>
    <w:p w14:paraId="08A52F9C">
      <w:pPr>
        <w:pStyle w:val="2"/>
      </w:pPr>
      <w:r>
        <w:t>3. Tools &amp; Technologies</w:t>
      </w:r>
    </w:p>
    <w:p w14:paraId="0D61EFEE">
      <w:pPr>
        <w:pBdr>
          <w:bottom w:val="single" w:color="2E75B6" w:sz="6" w:space="1"/>
        </w:pBdr>
      </w:pPr>
    </w:p>
    <w:p w14:paraId="256B26A4">
      <w:pPr>
        <w:spacing w:before="60" w:after="60"/>
      </w:pPr>
    </w:p>
    <w:p w14:paraId="483A71FF">
      <w:pPr>
        <w:pStyle w:val="3"/>
      </w:pPr>
      <w:r>
        <w:t>3.1 Core Tools</w:t>
      </w:r>
    </w:p>
    <w:p w14:paraId="47A41C65">
      <w:pPr>
        <w:pStyle w:val="21"/>
        <w:numPr>
          <w:ilvl w:val="0"/>
          <w:numId w:val="1"/>
        </w:numPr>
        <w:spacing w:before="40" w:after="40"/>
      </w:pPr>
      <w:r>
        <w:t>PySpark — Spark DataFrame API for scalable, distributed data processing.</w:t>
      </w:r>
    </w:p>
    <w:p w14:paraId="21BF00D6">
      <w:pPr>
        <w:pStyle w:val="21"/>
        <w:numPr>
          <w:ilvl w:val="0"/>
          <w:numId w:val="1"/>
        </w:numPr>
        <w:spacing w:before="40" w:after="40"/>
      </w:pPr>
      <w:r>
        <w:t>Spark SQL — SQL queries executed against registered Spark temporary views.</w:t>
      </w:r>
    </w:p>
    <w:p w14:paraId="1BF7D087">
      <w:pPr>
        <w:pStyle w:val="21"/>
        <w:numPr>
          <w:ilvl w:val="0"/>
          <w:numId w:val="1"/>
        </w:numPr>
        <w:spacing w:before="40" w:after="40"/>
      </w:pPr>
      <w:r>
        <w:t>Python — Orchestration, baseline benchmarking, and utility scripting.</w:t>
      </w:r>
    </w:p>
    <w:p w14:paraId="08A28AD7">
      <w:pPr>
        <w:pStyle w:val="21"/>
        <w:numPr>
          <w:ilvl w:val="0"/>
          <w:numId w:val="1"/>
        </w:numPr>
        <w:spacing w:before="40" w:after="40"/>
      </w:pPr>
      <w:r>
        <w:t>Matplotlib — Chart generation; all plots exported in JPG format.</w:t>
      </w:r>
    </w:p>
    <w:p w14:paraId="165BC9EF">
      <w:pPr>
        <w:pStyle w:val="21"/>
        <w:numPr>
          <w:ilvl w:val="0"/>
          <w:numId w:val="1"/>
        </w:numPr>
        <w:spacing w:before="40" w:after="40"/>
      </w:pPr>
      <w:r>
        <w:t>Jupyter Notebook / VS Code Notebook Editor — Interactive development environment.</w:t>
      </w:r>
    </w:p>
    <w:p w14:paraId="2501B473">
      <w:pPr>
        <w:spacing w:before="120" w:after="120"/>
      </w:pPr>
    </w:p>
    <w:p w14:paraId="73306F57">
      <w:pPr>
        <w:pStyle w:val="3"/>
      </w:pPr>
      <w:r>
        <w:t>3.2 Output Artifacts</w:t>
      </w:r>
    </w:p>
    <w:p w14:paraId="33D49C1B">
      <w:pPr>
        <w:pStyle w:val="21"/>
        <w:numPr>
          <w:ilvl w:val="0"/>
          <w:numId w:val="1"/>
        </w:numPr>
        <w:spacing w:before="40" w:after="40"/>
      </w:pPr>
      <w:r>
        <w:t>CSV and JSONL exports of aggregated results.</w:t>
      </w:r>
    </w:p>
    <w:p w14:paraId="64CBDCF7">
      <w:pPr>
        <w:pStyle w:val="21"/>
        <w:numPr>
          <w:ilvl w:val="0"/>
          <w:numId w:val="1"/>
        </w:numPr>
        <w:spacing w:before="40" w:after="40"/>
      </w:pPr>
      <w:r>
        <w:t>Multiple JPG graphs stored in etl_output/plots/jpg/.</w:t>
      </w:r>
    </w:p>
    <w:p w14:paraId="6D4E4323"/>
    <w:p w14:paraId="4955E202">
      <w:pPr>
        <w:jc w:val="center"/>
      </w:pPr>
      <w:r>
        <w:rPr>
          <w:rFonts w:ascii="Calibri" w:hAnsi="Calibri" w:eastAsia="Calibri" w:cs="Calibri"/>
          <w:b/>
          <w:bCs/>
          <w:sz w:val="24"/>
          <w:szCs w:val="24"/>
        </w:rPr>
        <w:drawing>
          <wp:inline distT="114300" distB="114300" distL="114300" distR="114300">
            <wp:extent cx="3801745" cy="3082290"/>
            <wp:effectExtent l="19050" t="19050" r="27305" b="22860"/>
            <wp:docPr id="12" name="image17.png"/>
            <wp:cNvGraphicFramePr/>
            <a:graphic xmlns:a="http://schemas.openxmlformats.org/drawingml/2006/main">
              <a:graphicData uri="http://schemas.openxmlformats.org/drawingml/2006/picture">
                <pic:pic xmlns:pic="http://schemas.openxmlformats.org/drawingml/2006/picture">
                  <pic:nvPicPr>
                    <pic:cNvPr id="12" name="image17.png"/>
                    <pic:cNvPicPr preferRelativeResize="0"/>
                  </pic:nvPicPr>
                  <pic:blipFill>
                    <a:blip r:embed="rId8"/>
                    <a:srcRect r="-1303" b="27929"/>
                    <a:stretch>
                      <a:fillRect/>
                    </a:stretch>
                  </pic:blipFill>
                  <pic:spPr>
                    <a:xfrm>
                      <a:off x="0" y="0"/>
                      <a:ext cx="3801745" cy="3082290"/>
                    </a:xfrm>
                    <a:prstGeom prst="rect">
                      <a:avLst/>
                    </a:prstGeom>
                    <a:ln>
                      <a:solidFill>
                        <a:schemeClr val="tx1"/>
                      </a:solidFill>
                    </a:ln>
                  </pic:spPr>
                </pic:pic>
              </a:graphicData>
            </a:graphic>
          </wp:inline>
        </w:drawing>
      </w:r>
    </w:p>
    <w:p w14:paraId="62FCCD28">
      <w:r>
        <w:br w:type="page"/>
      </w:r>
    </w:p>
    <w:p w14:paraId="3561AC1F">
      <w:pPr>
        <w:pStyle w:val="2"/>
      </w:pPr>
      <w:r>
        <w:t>4. Methodology</w:t>
      </w:r>
    </w:p>
    <w:p w14:paraId="69C9797A">
      <w:pPr>
        <w:pBdr>
          <w:bottom w:val="single" w:color="2E75B6" w:sz="6" w:space="1"/>
        </w:pBdr>
      </w:pPr>
    </w:p>
    <w:p w14:paraId="4F6E4820">
      <w:pPr>
        <w:spacing w:before="60" w:after="60"/>
      </w:pPr>
    </w:p>
    <w:p w14:paraId="177E5ED2">
      <w:pPr>
        <w:pStyle w:val="3"/>
      </w:pPr>
      <w:r>
        <w:t>4.1 ETL Pipeline Overview</w:t>
      </w:r>
    </w:p>
    <w:p w14:paraId="29528F9F">
      <w:pPr>
        <w:spacing w:before="60" w:after="60"/>
        <w:jc w:val="both"/>
      </w:pPr>
      <w:r>
        <w:t>The ETL (Extract, Transform, Load) pipeline is implemented using functional programming transformations within energy_project.ipynb. The pipeline follows six sequential phases:</w:t>
      </w:r>
    </w:p>
    <w:p w14:paraId="092BF101">
      <w:pPr>
        <w:pStyle w:val="21"/>
        <w:numPr>
          <w:ilvl w:val="0"/>
          <w:numId w:val="2"/>
        </w:numPr>
        <w:spacing w:before="40" w:after="40"/>
      </w:pPr>
      <w:r>
        <w:t>Extract — Load the raw CSV into a Spark DataFrame.</w:t>
      </w:r>
    </w:p>
    <w:p w14:paraId="5AC780E2">
      <w:pPr>
        <w:pStyle w:val="21"/>
        <w:numPr>
          <w:ilvl w:val="0"/>
          <w:numId w:val="2"/>
        </w:numPr>
        <w:spacing w:before="40" w:after="40"/>
      </w:pPr>
      <w:r>
        <w:t>Transform — Standardize categories, safely cast numeric fields, derive connection_status, and filter invalid rows (null, empty, or UNKNOWN values).</w:t>
      </w:r>
    </w:p>
    <w:p w14:paraId="6B2266A7">
      <w:pPr>
        <w:pStyle w:val="21"/>
        <w:numPr>
          <w:ilvl w:val="0"/>
          <w:numId w:val="2"/>
        </w:numPr>
        <w:spacing w:before="40" w:after="40"/>
      </w:pPr>
      <w:r>
        <w:t>Load — Export core aggregations (region counts) as CSV and JSONL files.</w:t>
      </w:r>
    </w:p>
    <w:p w14:paraId="203D6C49">
      <w:pPr>
        <w:pStyle w:val="21"/>
        <w:numPr>
          <w:ilvl w:val="0"/>
          <w:numId w:val="2"/>
        </w:numPr>
        <w:spacing w:before="40" w:after="40"/>
      </w:pPr>
      <w:r>
        <w:t>Validate — Compare DataFrame aggregations against equivalent Spark SQL aggregations.</w:t>
      </w:r>
    </w:p>
    <w:p w14:paraId="045F893E">
      <w:pPr>
        <w:pStyle w:val="21"/>
        <w:numPr>
          <w:ilvl w:val="0"/>
          <w:numId w:val="2"/>
        </w:numPr>
        <w:spacing w:before="40" w:after="40"/>
      </w:pPr>
      <w:r>
        <w:t>Analyze — Produce multiple unique analytical plots across key dimensions.</w:t>
      </w:r>
    </w:p>
    <w:p w14:paraId="7D95ECAD">
      <w:pPr>
        <w:pStyle w:val="21"/>
        <w:numPr>
          <w:ilvl w:val="0"/>
          <w:numId w:val="2"/>
        </w:numPr>
        <w:spacing w:before="40" w:after="40"/>
      </w:pPr>
      <w:r>
        <w:t>Benchmark — Measure and compare execution time: Spark SQL, Spark DataFrame, and pure Python.</w:t>
      </w:r>
    </w:p>
    <w:p w14:paraId="6FCAECD1">
      <w:pPr>
        <w:spacing w:before="120" w:after="120"/>
      </w:pPr>
    </w:p>
    <w:p w14:paraId="2FEB78ED">
      <w:pPr>
        <w:pStyle w:val="3"/>
      </w:pPr>
      <w:r>
        <w:t>4.2 Implementation Details</w:t>
      </w:r>
    </w:p>
    <w:p w14:paraId="4DACE8A0">
      <w:pPr>
        <w:pStyle w:val="4"/>
      </w:pPr>
      <w:r>
        <w:t>A. Extract (Source)</w:t>
      </w:r>
    </w:p>
    <w:p w14:paraId="5448EEDE">
      <w:pPr>
        <w:spacing w:before="60" w:after="60"/>
        <w:jc w:val="both"/>
      </w:pPr>
      <w:r>
        <w:t>The raw dataset is loaded using:</w:t>
      </w:r>
    </w:p>
    <w:p w14:paraId="67FF1C66">
      <w:pPr>
        <w:shd w:val="clear" w:color="auto" w:fill="F2F6FC"/>
        <w:spacing w:before="80" w:after="80"/>
        <w:ind w:left="360"/>
      </w:pPr>
      <w:r>
        <w:rPr>
          <w:rFonts w:ascii="Courier New" w:hAnsi="Courier New" w:eastAsia="Courier New" w:cs="Courier New"/>
          <w:color w:val="1F3864"/>
          <w:sz w:val="20"/>
          <w:szCs w:val="20"/>
        </w:rPr>
        <w:t>spark.read.option("header", "true").csv(...)</w:t>
      </w:r>
    </w:p>
    <w:p w14:paraId="700473AC">
      <w:pPr>
        <w:spacing w:before="60" w:after="60"/>
        <w:jc w:val="both"/>
      </w:pPr>
      <w:r>
        <w:t>This produces a raw Spark DataFrame with schema inferred from column headers.</w:t>
      </w:r>
    </w:p>
    <w:p w14:paraId="60F5AC33">
      <w:pPr>
        <w:pStyle w:val="4"/>
      </w:pPr>
      <w:r>
        <w:t>B. Transform (Functional Operations)</w:t>
      </w:r>
    </w:p>
    <w:p w14:paraId="34B8D62A">
      <w:pPr>
        <w:pStyle w:val="21"/>
        <w:numPr>
          <w:ilvl w:val="0"/>
          <w:numId w:val="1"/>
        </w:numPr>
        <w:spacing w:before="40" w:after="40"/>
      </w:pPr>
      <w:r>
        <w:t>Map — withColumn and when/otherwise logic maps raw connectivity codes (1 or 2) to readable labels ("Connected" / "Not Connected"). This mapping function is applied to every row.</w:t>
      </w:r>
    </w:p>
    <w:p w14:paraId="2614A490">
      <w:pPr>
        <w:pStyle w:val="21"/>
        <w:numPr>
          <w:ilvl w:val="0"/>
          <w:numId w:val="1"/>
        </w:numPr>
        <w:spacing w:before="40" w:after="40"/>
      </w:pPr>
      <w:r>
        <w:t>Filter — .filter() removes rows where labels are empty, null, or "UNKNOWN", ensuring only high-quality data enters the analytics stage.</w:t>
      </w:r>
    </w:p>
    <w:p w14:paraId="646BCF3A">
      <w:pPr>
        <w:pStyle w:val="21"/>
        <w:numPr>
          <w:ilvl w:val="0"/>
          <w:numId w:val="1"/>
        </w:numPr>
        <w:spacing w:before="40" w:after="40"/>
      </w:pPr>
      <w:r>
        <w:t>GroupBy — .groupBy("region") or .groupBy("connection_status") groups related rows for aggregation.</w:t>
      </w:r>
    </w:p>
    <w:p w14:paraId="71F6B08A">
      <w:pPr>
        <w:pStyle w:val="21"/>
        <w:numPr>
          <w:ilvl w:val="0"/>
          <w:numId w:val="1"/>
        </w:numPr>
        <w:spacing w:before="40" w:after="40"/>
      </w:pPr>
      <w:r>
        <w:t>Reduce — .count() or .agg(F.sum(...)) collapses groups into single numerical results (e.g., total count per region).</w:t>
      </w:r>
    </w:p>
    <w:p w14:paraId="7F927032">
      <w:pPr>
        <w:pStyle w:val="4"/>
      </w:pPr>
      <w:r>
        <w:t>C. Load (Destination)</w:t>
      </w:r>
    </w:p>
    <w:p w14:paraId="540B6AA6">
      <w:pPr>
        <w:spacing w:before="60" w:after="60"/>
        <w:jc w:val="both"/>
      </w:pPr>
      <w:r>
        <w:t>Aggregated results are written to disk as CSV and JSONL files in the etl_output/ directory for downstream consumption and submission.</w:t>
      </w:r>
    </w:p>
    <w:p w14:paraId="29F5322B">
      <w:pPr>
        <w:spacing w:before="120" w:after="120"/>
      </w:pPr>
    </w:p>
    <w:p w14:paraId="7E9BEA04">
      <w:pPr>
        <w:pStyle w:val="3"/>
      </w:pPr>
      <w:r>
        <w:t>4.3 Data Cleaning &amp; Quality Rules</w:t>
      </w:r>
    </w:p>
    <w:p w14:paraId="5E4759ED">
      <w:pPr>
        <w:spacing w:before="60" w:after="60"/>
        <w:jc w:val="both"/>
      </w:pPr>
      <w:r>
        <w:t>Strict cleaning rules are applied before any analysis to prevent misleading charts and ensure interpretability:</w:t>
      </w:r>
    </w:p>
    <w:p w14:paraId="04BE9165">
      <w:pPr>
        <w:spacing w:before="100" w:after="40"/>
      </w:pPr>
      <w:r>
        <w:rPr>
          <w:b/>
          <w:bCs/>
          <w:color w:val="2E5D9E"/>
        </w:rPr>
        <w:t>Category Columns:</w:t>
      </w:r>
    </w:p>
    <w:p w14:paraId="454CA8CD">
      <w:pPr>
        <w:pStyle w:val="21"/>
        <w:numPr>
          <w:ilvl w:val="0"/>
          <w:numId w:val="1"/>
        </w:numPr>
        <w:spacing w:before="40" w:after="40"/>
      </w:pPr>
      <w:r>
        <w:t>Remove null values.</w:t>
      </w:r>
    </w:p>
    <w:p w14:paraId="7252C29D">
      <w:pPr>
        <w:pStyle w:val="21"/>
        <w:numPr>
          <w:ilvl w:val="0"/>
          <w:numId w:val="1"/>
        </w:numPr>
        <w:spacing w:before="40" w:after="40"/>
      </w:pPr>
      <w:r>
        <w:t>Remove empty strings.</w:t>
      </w:r>
    </w:p>
    <w:p w14:paraId="090D4AEC">
      <w:pPr>
        <w:pStyle w:val="21"/>
        <w:numPr>
          <w:ilvl w:val="0"/>
          <w:numId w:val="1"/>
        </w:numPr>
        <w:spacing w:before="40" w:after="40"/>
      </w:pPr>
      <w:r>
        <w:t>Remove the literal string "UNKNOWN".</w:t>
      </w:r>
    </w:p>
    <w:p w14:paraId="301ACBE0">
      <w:pPr>
        <w:spacing w:before="100" w:after="40"/>
      </w:pPr>
      <w:r>
        <w:rPr>
          <w:b/>
          <w:bCs/>
          <w:color w:val="2E5D9E"/>
        </w:rPr>
        <w:t>Connection Status:</w:t>
      </w:r>
    </w:p>
    <w:p w14:paraId="0D11EE6B">
      <w:pPr>
        <w:pStyle w:val="21"/>
        <w:numPr>
          <w:ilvl w:val="0"/>
          <w:numId w:val="1"/>
        </w:numPr>
        <w:spacing w:before="40" w:after="40"/>
      </w:pPr>
      <w:r>
        <w:t>Connected — mapped from raw field.</w:t>
      </w:r>
    </w:p>
    <w:p w14:paraId="45BCF849">
      <w:pPr>
        <w:pStyle w:val="21"/>
        <w:numPr>
          <w:ilvl w:val="0"/>
          <w:numId w:val="1"/>
        </w:numPr>
        <w:spacing w:before="40" w:after="40"/>
      </w:pPr>
      <w:r>
        <w:t>Not Connected — mapped from raw field.</w:t>
      </w:r>
    </w:p>
    <w:p w14:paraId="5BDE14FF">
      <w:pPr>
        <w:pStyle w:val="21"/>
        <w:numPr>
          <w:ilvl w:val="0"/>
          <w:numId w:val="1"/>
        </w:numPr>
        <w:spacing w:before="40" w:after="40"/>
      </w:pPr>
      <w:r>
        <w:t>Unknown / NA — excluded from grouped analyses.</w:t>
      </w:r>
    </w:p>
    <w:p w14:paraId="253FDD62">
      <w:pPr>
        <w:spacing w:before="100" w:after="40"/>
      </w:pPr>
      <w:r>
        <w:rPr>
          <w:b/>
          <w:bCs/>
          <w:color w:val="2E5D9E"/>
        </w:rPr>
        <w:t>Numeric Columns:</w:t>
      </w:r>
    </w:p>
    <w:p w14:paraId="7EE64316">
      <w:pPr>
        <w:pStyle w:val="21"/>
        <w:numPr>
          <w:ilvl w:val="0"/>
          <w:numId w:val="1"/>
        </w:numPr>
        <w:spacing w:before="40" w:after="40"/>
      </w:pPr>
      <w:r>
        <w:t>Apply safe numeric casting.</w:t>
      </w:r>
    </w:p>
    <w:p w14:paraId="5D6CC585">
      <w:pPr>
        <w:pStyle w:val="21"/>
        <w:numPr>
          <w:ilvl w:val="0"/>
          <w:numId w:val="1"/>
        </w:numPr>
        <w:spacing w:before="40" w:after="40"/>
      </w:pPr>
      <w:r>
        <w:t>Drop null or non-numeric values before plotting.</w:t>
      </w:r>
    </w:p>
    <w:p w14:paraId="66A3BCCF">
      <w:pPr>
        <w:spacing w:before="100" w:after="40"/>
      </w:pPr>
      <w:r>
        <w:rPr>
          <w:b/>
          <w:bCs/>
          <w:color w:val="2E5D9E"/>
        </w:rPr>
        <w:t>Why this matters:</w:t>
      </w:r>
    </w:p>
    <w:p w14:paraId="46783BD5">
      <w:pPr>
        <w:pStyle w:val="21"/>
        <w:numPr>
          <w:ilvl w:val="0"/>
          <w:numId w:val="1"/>
        </w:numPr>
        <w:spacing w:before="40" w:after="40"/>
      </w:pPr>
      <w:r>
        <w:t>Prevents misleading charts and duplicate/noisy categories</w:t>
      </w:r>
    </w:p>
    <w:p w14:paraId="750ABE9A">
      <w:pPr>
        <w:pStyle w:val="21"/>
        <w:numPr>
          <w:ilvl w:val="0"/>
          <w:numId w:val="1"/>
        </w:numPr>
        <w:spacing w:before="40" w:after="40"/>
      </w:pPr>
      <w:r>
        <w:t>Ensures every chart is based on reliable information.</w:t>
      </w:r>
    </w:p>
    <w:p w14:paraId="0CF64592"/>
    <w:p w14:paraId="7898EB9B">
      <w:pPr>
        <w:pStyle w:val="2"/>
      </w:pPr>
      <w:r>
        <w:t>5. Visual Analytics</w:t>
      </w:r>
    </w:p>
    <w:p w14:paraId="0263290C">
      <w:pPr>
        <w:pBdr>
          <w:bottom w:val="single" w:color="2E75B6" w:sz="6" w:space="1"/>
        </w:pBdr>
      </w:pPr>
    </w:p>
    <w:p w14:paraId="4608C1BA">
      <w:pPr>
        <w:spacing w:before="60" w:after="60"/>
      </w:pPr>
    </w:p>
    <w:p w14:paraId="052A8D28">
      <w:pPr>
        <w:spacing w:before="60" w:after="60"/>
        <w:jc w:val="both"/>
      </w:pPr>
      <w:r>
        <w:t>Six unique analytical visualizations were produced, each derived from validated, filtered data. The table below summarizes the graphs and their key insights:</w:t>
      </w:r>
    </w:p>
    <w:p w14:paraId="1795CE79">
      <w:pPr>
        <w:spacing w:before="80" w:after="80"/>
      </w:pPr>
    </w:p>
    <w:p w14:paraId="6FF25111">
      <w:pPr>
        <w:spacing w:before="100" w:after="40"/>
        <w:rPr>
          <w:rFonts w:ascii="Calibri" w:hAnsi="Calibri" w:eastAsia="Calibri"/>
          <w:b/>
          <w:bCs/>
          <w:sz w:val="24"/>
          <w:szCs w:val="24"/>
        </w:rPr>
      </w:pPr>
      <w:r>
        <w:rPr>
          <w:b/>
          <w:bCs/>
          <w:color w:val="2E5D9E"/>
        </w:rPr>
        <w:t>Graph 1: Top Region Connected</w:t>
      </w:r>
    </w:p>
    <w:p w14:paraId="022E086F">
      <w:pPr>
        <w:jc w:val="center"/>
      </w:pPr>
      <w:r>
        <w:drawing>
          <wp:inline distT="0" distB="0" distL="114300" distR="114300">
            <wp:extent cx="4817745" cy="2642235"/>
            <wp:effectExtent l="0" t="0" r="1905" b="5715"/>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9"/>
                    <a:stretch>
                      <a:fillRect/>
                    </a:stretch>
                  </pic:blipFill>
                  <pic:spPr>
                    <a:xfrm>
                      <a:off x="0" y="0"/>
                      <a:ext cx="4817745" cy="2642235"/>
                    </a:xfrm>
                    <a:prstGeom prst="rect">
                      <a:avLst/>
                    </a:prstGeom>
                    <a:noFill/>
                    <a:ln>
                      <a:noFill/>
                    </a:ln>
                  </pic:spPr>
                </pic:pic>
              </a:graphicData>
            </a:graphic>
          </wp:inline>
        </w:drawing>
      </w:r>
    </w:p>
    <w:p w14:paraId="7FD9B094">
      <w:pPr>
        <w:jc w:val="both"/>
        <w:rPr>
          <w:rFonts w:eastAsia="Calibri"/>
          <w:szCs w:val="24"/>
        </w:rPr>
      </w:pPr>
    </w:p>
    <w:p w14:paraId="3E0B5470">
      <w:pPr>
        <w:jc w:val="both"/>
        <w:rPr>
          <w:rFonts w:eastAsia="Calibri"/>
          <w:szCs w:val="24"/>
        </w:rPr>
      </w:pPr>
      <w:r>
        <w:rPr>
          <w:rFonts w:eastAsia="Calibri"/>
          <w:szCs w:val="24"/>
        </w:rPr>
        <w:t>This horizontal bar chart shows the total count of connected households per region.</w:t>
      </w:r>
    </w:p>
    <w:p w14:paraId="266FBBD7">
      <w:pPr>
        <w:jc w:val="both"/>
        <w:rPr>
          <w:rFonts w:eastAsia="Calibri"/>
          <w:szCs w:val="24"/>
        </w:rPr>
      </w:pPr>
      <w:r>
        <w:rPr>
          <w:rFonts w:eastAsia="Calibri"/>
          <w:szCs w:val="24"/>
        </w:rPr>
        <w:t xml:space="preserve">- </w:t>
      </w:r>
      <w:r>
        <w:rPr>
          <w:rFonts w:eastAsia="Calibri"/>
          <w:b/>
          <w:bCs/>
          <w:szCs w:val="24"/>
        </w:rPr>
        <w:t>Insights</w:t>
      </w:r>
      <w:r>
        <w:rPr>
          <w:rFonts w:eastAsia="Calibri"/>
          <w:szCs w:val="24"/>
        </w:rPr>
        <w:t>: It highlights which geographic areas have the strongest presence in the dataset. Because we filtered out "UNKNOWN" regions during the Filter step, the data is accurate and trustworthy.</w:t>
      </w:r>
    </w:p>
    <w:p w14:paraId="6D878374">
      <w:pPr>
        <w:jc w:val="both"/>
        <w:rPr>
          <w:rFonts w:ascii="Calibri" w:hAnsi="Calibri" w:eastAsia="Calibri"/>
          <w:sz w:val="24"/>
          <w:szCs w:val="24"/>
        </w:rPr>
      </w:pPr>
    </w:p>
    <w:p w14:paraId="18E3A707">
      <w:pPr>
        <w:rPr>
          <w:b/>
          <w:bCs/>
          <w:color w:val="2E5D9E"/>
        </w:rPr>
      </w:pPr>
      <w:r>
        <w:rPr>
          <w:b/>
          <w:bCs/>
          <w:color w:val="2E5D9E"/>
        </w:rPr>
        <w:br w:type="page"/>
      </w:r>
    </w:p>
    <w:p w14:paraId="05AF7420">
      <w:pPr>
        <w:jc w:val="both"/>
        <w:rPr>
          <w:rFonts w:ascii="Calibri" w:hAnsi="Calibri" w:eastAsia="Calibri"/>
          <w:b/>
          <w:bCs/>
          <w:sz w:val="24"/>
          <w:szCs w:val="24"/>
        </w:rPr>
      </w:pPr>
      <w:r>
        <w:rPr>
          <w:b/>
          <w:bCs/>
          <w:color w:val="2E5D9E"/>
        </w:rPr>
        <w:t>Graph 2: Overall Connection Status (Pie Chart)</w:t>
      </w:r>
    </w:p>
    <w:p w14:paraId="2B3554E9">
      <w:pPr>
        <w:jc w:val="both"/>
        <w:rPr>
          <w:rFonts w:ascii="Calibri" w:hAnsi="Calibri" w:eastAsia="Calibri"/>
          <w:b/>
          <w:bCs/>
          <w:sz w:val="24"/>
          <w:szCs w:val="24"/>
        </w:rPr>
      </w:pPr>
    </w:p>
    <w:p w14:paraId="5D19355C">
      <w:pPr>
        <w:jc w:val="center"/>
        <w:rPr>
          <w:rFonts w:ascii="Calibri" w:hAnsi="Calibri" w:eastAsia="Calibri"/>
          <w:b/>
          <w:bCs/>
          <w:sz w:val="24"/>
          <w:szCs w:val="24"/>
        </w:rPr>
      </w:pPr>
      <w:r>
        <w:drawing>
          <wp:inline distT="0" distB="0" distL="114300" distR="114300">
            <wp:extent cx="3111500" cy="2209800"/>
            <wp:effectExtent l="0" t="0" r="1270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10"/>
                    <a:stretch>
                      <a:fillRect/>
                    </a:stretch>
                  </pic:blipFill>
                  <pic:spPr>
                    <a:xfrm>
                      <a:off x="0" y="0"/>
                      <a:ext cx="3111500" cy="2209800"/>
                    </a:xfrm>
                    <a:prstGeom prst="rect">
                      <a:avLst/>
                    </a:prstGeom>
                    <a:noFill/>
                    <a:ln>
                      <a:noFill/>
                    </a:ln>
                  </pic:spPr>
                </pic:pic>
              </a:graphicData>
            </a:graphic>
          </wp:inline>
        </w:drawing>
      </w:r>
    </w:p>
    <w:p w14:paraId="171ED6A2">
      <w:pPr>
        <w:jc w:val="both"/>
        <w:rPr>
          <w:rFonts w:eastAsia="Calibri"/>
          <w:szCs w:val="24"/>
        </w:rPr>
      </w:pPr>
      <w:r>
        <w:rPr>
          <w:rFonts w:eastAsia="Calibri"/>
          <w:szCs w:val="24"/>
        </w:rPr>
        <w:t>This pie chart shows the percentage split between "Connected" and "Not connected" households.</w:t>
      </w:r>
    </w:p>
    <w:p w14:paraId="4F402AE6">
      <w:pPr>
        <w:jc w:val="both"/>
        <w:rPr>
          <w:rFonts w:eastAsia="Calibri"/>
          <w:szCs w:val="24"/>
        </w:rPr>
      </w:pPr>
      <w:r>
        <w:rPr>
          <w:rFonts w:eastAsia="Calibri"/>
          <w:szCs w:val="24"/>
        </w:rPr>
        <w:t xml:space="preserve">- </w:t>
      </w:r>
      <w:r>
        <w:rPr>
          <w:rFonts w:eastAsia="Calibri"/>
          <w:b/>
          <w:bCs/>
          <w:szCs w:val="24"/>
        </w:rPr>
        <w:t>Insights</w:t>
      </w:r>
      <w:r>
        <w:rPr>
          <w:rFonts w:eastAsia="Calibri"/>
          <w:szCs w:val="24"/>
        </w:rPr>
        <w:t>: It gives a high-level view of the energy access gap. This was driven by a GroupBy on the mapped status labels and a Reduce (count) to get the proportions.</w:t>
      </w:r>
    </w:p>
    <w:p w14:paraId="242066C6">
      <w:pPr>
        <w:jc w:val="both"/>
        <w:rPr>
          <w:rFonts w:ascii="Calibri" w:hAnsi="Calibri" w:eastAsia="Calibri"/>
          <w:sz w:val="24"/>
          <w:szCs w:val="24"/>
        </w:rPr>
      </w:pPr>
    </w:p>
    <w:p w14:paraId="37725B7A">
      <w:pPr>
        <w:jc w:val="both"/>
        <w:rPr>
          <w:rFonts w:ascii="Calibri" w:hAnsi="Calibri" w:eastAsia="Calibri"/>
          <w:b/>
          <w:bCs/>
          <w:sz w:val="24"/>
          <w:szCs w:val="24"/>
        </w:rPr>
      </w:pPr>
      <w:r>
        <w:rPr>
          <w:b/>
          <w:bCs/>
          <w:color w:val="2E5D9E"/>
        </w:rPr>
        <w:t>Graph 3: Connection by Category (Stacked Bar)</w:t>
      </w:r>
    </w:p>
    <w:p w14:paraId="53CC9B81">
      <w:pPr>
        <w:jc w:val="both"/>
        <w:rPr>
          <w:rFonts w:ascii="Calibri" w:hAnsi="Calibri" w:eastAsia="Calibri"/>
          <w:b/>
          <w:bCs/>
          <w:sz w:val="24"/>
          <w:szCs w:val="24"/>
        </w:rPr>
      </w:pPr>
    </w:p>
    <w:p w14:paraId="77714A0B">
      <w:pPr>
        <w:jc w:val="center"/>
        <w:rPr>
          <w:rFonts w:eastAsia="Calibri"/>
          <w:sz w:val="24"/>
          <w:szCs w:val="24"/>
        </w:rPr>
      </w:pPr>
      <w:r>
        <w:drawing>
          <wp:inline distT="0" distB="0" distL="114300" distR="114300">
            <wp:extent cx="5932170" cy="3268980"/>
            <wp:effectExtent l="0" t="0" r="11430" b="762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11"/>
                    <a:stretch>
                      <a:fillRect/>
                    </a:stretch>
                  </pic:blipFill>
                  <pic:spPr>
                    <a:xfrm>
                      <a:off x="0" y="0"/>
                      <a:ext cx="5932170" cy="3268980"/>
                    </a:xfrm>
                    <a:prstGeom prst="rect">
                      <a:avLst/>
                    </a:prstGeom>
                    <a:noFill/>
                    <a:ln>
                      <a:noFill/>
                    </a:ln>
                  </pic:spPr>
                </pic:pic>
              </a:graphicData>
            </a:graphic>
          </wp:inline>
        </w:drawing>
      </w:r>
      <w:r>
        <w:rPr>
          <w:rFonts w:eastAsia="Calibri"/>
          <w:sz w:val="24"/>
          <w:szCs w:val="24"/>
        </w:rPr>
        <w:t>Stacked bars showing the proportion of connected vs. unconnected within each group (e.g., SEC A, B, C).</w:t>
      </w:r>
    </w:p>
    <w:p w14:paraId="57EE2C99">
      <w:pPr>
        <w:jc w:val="both"/>
        <w:rPr>
          <w:rFonts w:eastAsia="Calibri"/>
          <w:sz w:val="24"/>
          <w:szCs w:val="24"/>
        </w:rPr>
      </w:pPr>
      <w:r>
        <w:rPr>
          <w:rFonts w:eastAsia="Calibri"/>
          <w:sz w:val="24"/>
          <w:szCs w:val="24"/>
        </w:rPr>
        <w:t xml:space="preserve">- </w:t>
      </w:r>
      <w:r>
        <w:rPr>
          <w:rFonts w:eastAsia="Calibri"/>
          <w:b/>
          <w:bCs/>
          <w:sz w:val="24"/>
          <w:szCs w:val="24"/>
        </w:rPr>
        <w:t>Insights</w:t>
      </w:r>
      <w:r>
        <w:rPr>
          <w:rFonts w:eastAsia="Calibri"/>
          <w:sz w:val="24"/>
          <w:szCs w:val="24"/>
        </w:rPr>
        <w:t>: This is a complex ETL result involving GroupBy on two columns (Category + Status) followed by a Reduce count. It reveals if certain demographics (like specific SEC groups or genders) have unequal access to the grid.</w:t>
      </w:r>
    </w:p>
    <w:p w14:paraId="7D573C71">
      <w:pPr>
        <w:jc w:val="both"/>
        <w:rPr>
          <w:rFonts w:ascii="Calibri" w:hAnsi="Calibri" w:eastAsia="Calibri"/>
          <w:sz w:val="24"/>
          <w:szCs w:val="24"/>
        </w:rPr>
      </w:pPr>
    </w:p>
    <w:p w14:paraId="587A48E6">
      <w:pPr>
        <w:jc w:val="both"/>
        <w:rPr>
          <w:rFonts w:ascii="Calibri" w:hAnsi="Calibri" w:eastAsia="Calibri"/>
          <w:b/>
          <w:bCs/>
          <w:sz w:val="24"/>
          <w:szCs w:val="24"/>
        </w:rPr>
      </w:pPr>
      <w:r>
        <w:rPr>
          <w:b/>
          <w:bCs/>
          <w:color w:val="2E5D9E"/>
        </w:rPr>
        <w:t>Graph 4: Distance Distribution (Histogram)</w:t>
      </w:r>
    </w:p>
    <w:p w14:paraId="1363FA0F">
      <w:pPr>
        <w:jc w:val="both"/>
        <w:rPr>
          <w:rFonts w:ascii="Calibri" w:hAnsi="Calibri" w:eastAsia="Calibri"/>
          <w:b/>
          <w:bCs/>
          <w:sz w:val="24"/>
          <w:szCs w:val="24"/>
        </w:rPr>
      </w:pPr>
    </w:p>
    <w:p w14:paraId="2314C332">
      <w:pPr>
        <w:jc w:val="both"/>
        <w:rPr>
          <w:rFonts w:ascii="Calibri" w:hAnsi="Calibri" w:eastAsia="Calibri"/>
          <w:sz w:val="24"/>
          <w:szCs w:val="24"/>
        </w:rPr>
      </w:pPr>
    </w:p>
    <w:p w14:paraId="1D3E3CA6">
      <w:pPr>
        <w:jc w:val="center"/>
        <w:rPr>
          <w:rFonts w:ascii="Calibri" w:hAnsi="Calibri" w:eastAsia="Calibri"/>
          <w:sz w:val="24"/>
          <w:szCs w:val="24"/>
        </w:rPr>
      </w:pPr>
      <w:r>
        <w:drawing>
          <wp:inline distT="0" distB="0" distL="114300" distR="114300">
            <wp:extent cx="5932170" cy="3268980"/>
            <wp:effectExtent l="0" t="0" r="11430" b="7620"/>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11"/>
                    <a:stretch>
                      <a:fillRect/>
                    </a:stretch>
                  </pic:blipFill>
                  <pic:spPr>
                    <a:xfrm>
                      <a:off x="0" y="0"/>
                      <a:ext cx="5932170" cy="3268980"/>
                    </a:xfrm>
                    <a:prstGeom prst="rect">
                      <a:avLst/>
                    </a:prstGeom>
                    <a:noFill/>
                    <a:ln>
                      <a:noFill/>
                    </a:ln>
                  </pic:spPr>
                </pic:pic>
              </a:graphicData>
            </a:graphic>
          </wp:inline>
        </w:drawing>
      </w:r>
    </w:p>
    <w:p w14:paraId="3A89BF93">
      <w:pPr>
        <w:jc w:val="both"/>
        <w:rPr>
          <w:rFonts w:eastAsia="Calibri"/>
          <w:szCs w:val="24"/>
        </w:rPr>
      </w:pPr>
      <w:r>
        <w:rPr>
          <w:rFonts w:ascii="Calibri" w:hAnsi="Calibri" w:eastAsia="Calibri"/>
          <w:sz w:val="24"/>
          <w:szCs w:val="24"/>
        </w:rPr>
        <w:t xml:space="preserve">A </w:t>
      </w:r>
      <w:r>
        <w:rPr>
          <w:rFonts w:eastAsia="Calibri"/>
          <w:szCs w:val="24"/>
        </w:rPr>
        <w:t>histogram of the "Distance to Grid" numeric field.</w:t>
      </w:r>
    </w:p>
    <w:p w14:paraId="537458D4">
      <w:pPr>
        <w:jc w:val="both"/>
        <w:rPr>
          <w:rFonts w:eastAsia="Calibri"/>
          <w:szCs w:val="24"/>
        </w:rPr>
      </w:pPr>
      <w:r>
        <w:rPr>
          <w:rFonts w:eastAsia="Calibri"/>
          <w:szCs w:val="24"/>
        </w:rPr>
        <w:t xml:space="preserve">- Insights: Shows how far "off-grid" households typically are. This used a Filter to remove non-numeric/null values before sampling. </w:t>
      </w:r>
    </w:p>
    <w:p w14:paraId="2B9F9677">
      <w:pPr>
        <w:jc w:val="both"/>
        <w:rPr>
          <w:rFonts w:ascii="Calibri" w:hAnsi="Calibri" w:eastAsia="Calibri" w:cs="Calibri"/>
          <w:sz w:val="24"/>
          <w:szCs w:val="24"/>
        </w:rPr>
      </w:pPr>
      <w:r>
        <w:rPr>
          <w:rFonts w:ascii="Calibri" w:hAnsi="Calibri" w:eastAsia="Calibri" w:cs="Calibri"/>
          <w:sz w:val="24"/>
          <w:szCs w:val="24"/>
        </w:rPr>
        <w:t xml:space="preserve"> </w:t>
      </w:r>
    </w:p>
    <w:p w14:paraId="1EC6B006">
      <w:pPr>
        <w:jc w:val="both"/>
        <w:rPr>
          <w:rFonts w:ascii="Calibri" w:hAnsi="Calibri" w:eastAsia="Calibri" w:cs="Calibri"/>
          <w:b/>
          <w:bCs/>
          <w:color w:val="2E75B6"/>
          <w:sz w:val="28"/>
          <w:szCs w:val="28"/>
        </w:rPr>
      </w:pPr>
      <w:r>
        <w:rPr>
          <w:rFonts w:ascii="Calibri" w:hAnsi="Calibri" w:eastAsia="Calibri" w:cs="Calibri"/>
          <w:b/>
          <w:bCs/>
          <w:color w:val="2E75B6"/>
          <w:sz w:val="28"/>
          <w:szCs w:val="28"/>
        </w:rPr>
        <w:t>Validation: Spark SQL vs DataFrame</w:t>
      </w:r>
    </w:p>
    <w:p w14:paraId="14176350">
      <w:pPr>
        <w:jc w:val="both"/>
        <w:rPr>
          <w:rFonts w:eastAsia="Calibri"/>
          <w:szCs w:val="24"/>
          <w:u w:val="single"/>
        </w:rPr>
      </w:pPr>
      <w:r>
        <w:rPr>
          <w:rFonts w:eastAsia="Calibri"/>
          <w:szCs w:val="24"/>
          <w:u w:val="single"/>
        </w:rPr>
        <w:t>Why Validation?</w:t>
      </w:r>
    </w:p>
    <w:p w14:paraId="60A63818">
      <w:pPr>
        <w:jc w:val="both"/>
        <w:rPr>
          <w:rFonts w:eastAsia="Calibri"/>
          <w:szCs w:val="24"/>
        </w:rPr>
      </w:pPr>
      <w:r>
        <w:rPr>
          <w:rFonts w:eastAsia="Calibri"/>
          <w:szCs w:val="24"/>
        </w:rPr>
        <w:t>- SQL and DataFrame methods should produce identical results.</w:t>
      </w:r>
    </w:p>
    <w:p w14:paraId="03957A20">
      <w:pPr>
        <w:jc w:val="both"/>
        <w:rPr>
          <w:rFonts w:ascii="Calibri" w:hAnsi="Calibri" w:eastAsia="Calibri" w:cs="Calibri"/>
          <w:b/>
          <w:bCs/>
          <w:sz w:val="28"/>
          <w:szCs w:val="28"/>
        </w:rPr>
      </w:pPr>
      <w:r>
        <w:rPr>
          <w:rFonts w:ascii="Calibri" w:hAnsi="Calibri" w:eastAsia="Calibri" w:cs="Calibri"/>
          <w:sz w:val="24"/>
          <w:szCs w:val="24"/>
        </w:rPr>
        <w:t xml:space="preserve"> </w:t>
      </w:r>
    </w:p>
    <w:p w14:paraId="401F5EA0">
      <w:pPr>
        <w:jc w:val="both"/>
        <w:rPr>
          <w:rFonts w:ascii="Calibri" w:hAnsi="Calibri" w:eastAsia="Calibri" w:cs="Calibri"/>
          <w:b/>
          <w:bCs/>
          <w:sz w:val="28"/>
          <w:szCs w:val="28"/>
        </w:rPr>
      </w:pPr>
      <w:r>
        <w:rPr>
          <w:rFonts w:ascii="Calibri" w:hAnsi="Calibri" w:eastAsia="Calibri" w:cs="Calibri"/>
          <w:b/>
          <w:bCs/>
          <w:color w:val="2E75B6"/>
          <w:sz w:val="28"/>
          <w:szCs w:val="28"/>
        </w:rPr>
        <w:t>Approach</w:t>
      </w:r>
    </w:p>
    <w:p w14:paraId="5E3D7AD4">
      <w:pPr>
        <w:jc w:val="both"/>
        <w:rPr>
          <w:rFonts w:eastAsia="Calibri"/>
          <w:szCs w:val="24"/>
        </w:rPr>
      </w:pPr>
      <w:r>
        <w:rPr>
          <w:rFonts w:eastAsia="Calibri"/>
          <w:szCs w:val="24"/>
        </w:rPr>
        <w:t>- Create temp view: `energy_etl`</w:t>
      </w:r>
    </w:p>
    <w:p w14:paraId="7C23A039">
      <w:pPr>
        <w:jc w:val="both"/>
        <w:rPr>
          <w:rFonts w:eastAsia="Calibri"/>
          <w:szCs w:val="24"/>
        </w:rPr>
      </w:pPr>
      <w:r>
        <w:rPr>
          <w:rFonts w:eastAsia="Calibri"/>
          <w:szCs w:val="24"/>
        </w:rPr>
        <w:t>- Run SQL aggregation:</w:t>
      </w:r>
    </w:p>
    <w:p w14:paraId="77426482">
      <w:pPr>
        <w:jc w:val="both"/>
        <w:rPr>
          <w:rFonts w:eastAsia="Calibri"/>
          <w:szCs w:val="24"/>
        </w:rPr>
      </w:pPr>
      <w:r>
        <w:rPr>
          <w:rFonts w:eastAsia="Calibri"/>
          <w:szCs w:val="24"/>
        </w:rPr>
        <w:t xml:space="preserve">  - `SELECT region, COUNT(*) ... GROUP BY region`</w:t>
      </w:r>
    </w:p>
    <w:p w14:paraId="22BD4AC5">
      <w:pPr>
        <w:jc w:val="both"/>
        <w:rPr>
          <w:rFonts w:eastAsia="Calibri"/>
          <w:szCs w:val="24"/>
        </w:rPr>
      </w:pPr>
      <w:r>
        <w:rPr>
          <w:rFonts w:eastAsia="Calibri"/>
          <w:szCs w:val="24"/>
        </w:rPr>
        <w:t>- Run DataFrame aggregation:</w:t>
      </w:r>
    </w:p>
    <w:p w14:paraId="3F7B8B86">
      <w:pPr>
        <w:jc w:val="both"/>
        <w:rPr>
          <w:rFonts w:eastAsia="Calibri"/>
          <w:szCs w:val="24"/>
        </w:rPr>
      </w:pPr>
      <w:r>
        <w:rPr>
          <w:rFonts w:eastAsia="Calibri"/>
          <w:szCs w:val="24"/>
        </w:rPr>
        <w:t xml:space="preserve">  - `.groupBy("region").count()`</w:t>
      </w:r>
    </w:p>
    <w:p w14:paraId="032B61E8">
      <w:pPr>
        <w:jc w:val="both"/>
        <w:rPr>
          <w:rFonts w:eastAsia="Calibri"/>
          <w:szCs w:val="24"/>
        </w:rPr>
      </w:pPr>
      <w:r>
        <w:rPr>
          <w:rFonts w:eastAsia="Calibri"/>
          <w:szCs w:val="24"/>
        </w:rPr>
        <w:t>- Join and compare counts:</w:t>
      </w:r>
    </w:p>
    <w:p w14:paraId="4F97892F">
      <w:pPr>
        <w:jc w:val="both"/>
        <w:rPr>
          <w:rFonts w:eastAsia="Calibri"/>
          <w:szCs w:val="24"/>
        </w:rPr>
      </w:pPr>
      <w:r>
        <w:rPr>
          <w:rFonts w:eastAsia="Calibri"/>
          <w:szCs w:val="24"/>
        </w:rPr>
        <w:t xml:space="preserve">  - Expect mismatch count = 0</w:t>
      </w:r>
    </w:p>
    <w:p w14:paraId="7C537D0C">
      <w:pPr>
        <w:spacing w:before="80" w:after="80"/>
      </w:pPr>
    </w:p>
    <w:p w14:paraId="49F6FC36">
      <w:pPr>
        <w:rPr>
          <w:b/>
          <w:bCs/>
          <w:color w:val="2E5D9E"/>
        </w:rPr>
      </w:pPr>
      <w:r>
        <w:rPr>
          <w:b/>
          <w:bCs/>
          <w:color w:val="2E5D9E"/>
        </w:rPr>
        <w:br w:type="page"/>
      </w:r>
    </w:p>
    <w:p w14:paraId="6EF2DB9D">
      <w:pPr>
        <w:jc w:val="both"/>
        <w:rPr>
          <w:rFonts w:ascii="Calibri" w:hAnsi="Calibri" w:eastAsia="Calibri" w:cs="Calibri"/>
          <w:b/>
          <w:bCs/>
          <w:sz w:val="32"/>
          <w:szCs w:val="32"/>
        </w:rPr>
      </w:pPr>
      <w:r>
        <w:rPr>
          <w:b/>
          <w:bCs/>
          <w:color w:val="2E5D9E"/>
        </w:rPr>
        <w:t>Graph 5: Numeric Distribution Analysis</w:t>
      </w:r>
    </w:p>
    <w:p w14:paraId="07438FA3">
      <w:pPr>
        <w:jc w:val="both"/>
        <w:rPr>
          <w:rFonts w:ascii="Calibri" w:hAnsi="Calibri" w:eastAsia="Calibri" w:cs="Calibri"/>
          <w:b/>
          <w:bCs/>
          <w:sz w:val="32"/>
          <w:szCs w:val="32"/>
        </w:rPr>
      </w:pPr>
    </w:p>
    <w:p w14:paraId="62B12087">
      <w:pPr>
        <w:jc w:val="center"/>
        <w:rPr>
          <w:rFonts w:ascii="Calibri" w:hAnsi="Calibri" w:eastAsia="Calibri" w:cs="Calibri"/>
          <w:sz w:val="24"/>
          <w:szCs w:val="24"/>
        </w:rPr>
      </w:pPr>
      <w:r>
        <w:rPr>
          <w:rFonts w:ascii="Calibri" w:hAnsi="Calibri" w:eastAsia="Calibri" w:cs="Calibri"/>
          <w:sz w:val="24"/>
          <w:szCs w:val="24"/>
        </w:rPr>
        <w:drawing>
          <wp:inline distT="114300" distB="114300" distL="114300" distR="114300">
            <wp:extent cx="4706620" cy="2332990"/>
            <wp:effectExtent l="0" t="0" r="17780" b="10160"/>
            <wp:docPr id="6" name="image9.png"/>
            <wp:cNvGraphicFramePr/>
            <a:graphic xmlns:a="http://schemas.openxmlformats.org/drawingml/2006/main">
              <a:graphicData uri="http://schemas.openxmlformats.org/drawingml/2006/picture">
                <pic:pic xmlns:pic="http://schemas.openxmlformats.org/drawingml/2006/picture">
                  <pic:nvPicPr>
                    <pic:cNvPr id="6" name="image9.png"/>
                    <pic:cNvPicPr preferRelativeResize="0"/>
                  </pic:nvPicPr>
                  <pic:blipFill>
                    <a:blip r:embed="rId12"/>
                    <a:srcRect/>
                    <a:stretch>
                      <a:fillRect/>
                    </a:stretch>
                  </pic:blipFill>
                  <pic:spPr>
                    <a:xfrm>
                      <a:off x="0" y="0"/>
                      <a:ext cx="4706620" cy="2332990"/>
                    </a:xfrm>
                    <a:prstGeom prst="rect">
                      <a:avLst/>
                    </a:prstGeom>
                  </pic:spPr>
                </pic:pic>
              </a:graphicData>
            </a:graphic>
          </wp:inline>
        </w:drawing>
      </w:r>
    </w:p>
    <w:p w14:paraId="36CF437C">
      <w:pPr>
        <w:jc w:val="both"/>
        <w:rPr>
          <w:rFonts w:ascii="Calibri" w:hAnsi="Calibri" w:eastAsia="Calibri" w:cs="Calibri"/>
          <w:sz w:val="24"/>
          <w:szCs w:val="24"/>
        </w:rPr>
      </w:pPr>
      <w:r>
        <w:rPr>
          <w:rFonts w:ascii="Calibri" w:hAnsi="Calibri" w:eastAsia="Calibri" w:cs="Calibri"/>
          <w:sz w:val="24"/>
          <w:szCs w:val="24"/>
        </w:rPr>
        <w:t xml:space="preserve"> </w:t>
      </w:r>
    </w:p>
    <w:p w14:paraId="09B88B24">
      <w:pPr>
        <w:jc w:val="both"/>
        <w:rPr>
          <w:rFonts w:eastAsia="Calibri"/>
          <w:szCs w:val="24"/>
        </w:rPr>
      </w:pPr>
      <w:r>
        <w:rPr>
          <w:rFonts w:ascii="Calibri" w:hAnsi="Calibri" w:eastAsia="Calibri" w:cs="Calibri"/>
          <w:b/>
          <w:bCs/>
          <w:color w:val="2E75B6"/>
          <w:sz w:val="28"/>
          <w:szCs w:val="28"/>
        </w:rPr>
        <w:t>Purpose</w:t>
      </w:r>
    </w:p>
    <w:p w14:paraId="396AA53C">
      <w:pPr>
        <w:jc w:val="both"/>
        <w:rPr>
          <w:rFonts w:eastAsia="Calibri"/>
          <w:szCs w:val="24"/>
        </w:rPr>
      </w:pPr>
      <w:r>
        <w:rPr>
          <w:rFonts w:eastAsia="Calibri"/>
          <w:szCs w:val="24"/>
        </w:rPr>
        <w:t>- Understand distribution shape:</w:t>
      </w:r>
    </w:p>
    <w:p w14:paraId="5A5FF0A9">
      <w:pPr>
        <w:jc w:val="both"/>
        <w:rPr>
          <w:rFonts w:eastAsia="Calibri"/>
          <w:szCs w:val="24"/>
        </w:rPr>
      </w:pPr>
      <w:r>
        <w:rPr>
          <w:rFonts w:eastAsia="Calibri"/>
          <w:szCs w:val="24"/>
        </w:rPr>
        <w:t xml:space="preserve">  - typical household size range</w:t>
      </w:r>
    </w:p>
    <w:p w14:paraId="4B6D163E">
      <w:pPr>
        <w:jc w:val="both"/>
        <w:rPr>
          <w:rFonts w:eastAsia="Calibri"/>
          <w:szCs w:val="24"/>
        </w:rPr>
      </w:pPr>
      <w:r>
        <w:rPr>
          <w:rFonts w:eastAsia="Calibri"/>
          <w:szCs w:val="24"/>
        </w:rPr>
        <w:t xml:space="preserve">  - spend levels</w:t>
      </w:r>
    </w:p>
    <w:p w14:paraId="5D3C8B6C">
      <w:pPr>
        <w:jc w:val="both"/>
        <w:rPr>
          <w:rFonts w:eastAsia="Calibri"/>
          <w:szCs w:val="24"/>
        </w:rPr>
      </w:pPr>
      <w:r>
        <w:rPr>
          <w:rFonts w:eastAsia="Calibri"/>
          <w:szCs w:val="24"/>
        </w:rPr>
        <w:t xml:space="preserve">  - how far households are from already-connected households</w:t>
      </w:r>
    </w:p>
    <w:p w14:paraId="1426780B">
      <w:pPr>
        <w:jc w:val="both"/>
        <w:rPr>
          <w:rFonts w:ascii="Calibri" w:hAnsi="Calibri" w:eastAsia="Calibri" w:cs="Calibri"/>
          <w:sz w:val="24"/>
          <w:szCs w:val="24"/>
        </w:rPr>
      </w:pPr>
      <w:r>
        <w:rPr>
          <w:rFonts w:ascii="Calibri" w:hAnsi="Calibri" w:eastAsia="Calibri" w:cs="Calibri"/>
          <w:sz w:val="24"/>
          <w:szCs w:val="24"/>
        </w:rPr>
        <w:t xml:space="preserve"> </w:t>
      </w:r>
    </w:p>
    <w:p w14:paraId="3A9E7E3D">
      <w:pPr>
        <w:jc w:val="both"/>
        <w:rPr>
          <w:b/>
          <w:bCs/>
          <w:color w:val="2E5D9E"/>
        </w:rPr>
      </w:pPr>
      <w:r>
        <w:rPr>
          <w:b/>
          <w:bCs/>
          <w:color w:val="2E5D9E"/>
        </w:rPr>
        <w:t>Graph 6: 2D Cross-Factor Study (Heatmap)</w:t>
      </w:r>
    </w:p>
    <w:p w14:paraId="5118BD27">
      <w:pPr>
        <w:jc w:val="both"/>
        <w:rPr>
          <w:rFonts w:ascii="Calibri" w:hAnsi="Calibri" w:eastAsia="Calibri" w:cs="Calibri"/>
          <w:b/>
          <w:bCs/>
          <w:sz w:val="24"/>
          <w:szCs w:val="24"/>
        </w:rPr>
      </w:pPr>
    </w:p>
    <w:p w14:paraId="10F756FE">
      <w:pPr>
        <w:jc w:val="center"/>
        <w:rPr>
          <w:rFonts w:ascii="Calibri" w:hAnsi="Calibri" w:eastAsia="Calibri" w:cs="Calibri"/>
          <w:sz w:val="24"/>
          <w:szCs w:val="24"/>
        </w:rPr>
      </w:pPr>
      <w:r>
        <w:rPr>
          <w:rFonts w:ascii="Calibri" w:hAnsi="Calibri" w:eastAsia="Calibri" w:cs="Calibri"/>
          <w:sz w:val="24"/>
          <w:szCs w:val="24"/>
        </w:rPr>
        <w:drawing>
          <wp:inline distT="114300" distB="114300" distL="114300" distR="114300">
            <wp:extent cx="4600575" cy="2446020"/>
            <wp:effectExtent l="0" t="0" r="9525" b="1143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13"/>
                    <a:srcRect/>
                    <a:stretch>
                      <a:fillRect/>
                    </a:stretch>
                  </pic:blipFill>
                  <pic:spPr>
                    <a:xfrm>
                      <a:off x="0" y="0"/>
                      <a:ext cx="4600575" cy="2446020"/>
                    </a:xfrm>
                    <a:prstGeom prst="rect">
                      <a:avLst/>
                    </a:prstGeom>
                  </pic:spPr>
                </pic:pic>
              </a:graphicData>
            </a:graphic>
          </wp:inline>
        </w:drawing>
      </w:r>
    </w:p>
    <w:p w14:paraId="04DB2545">
      <w:pPr>
        <w:jc w:val="both"/>
        <w:rPr>
          <w:rFonts w:eastAsia="Calibri"/>
          <w:szCs w:val="24"/>
        </w:rPr>
      </w:pPr>
      <w:r>
        <w:rPr>
          <w:rFonts w:ascii="Calibri" w:hAnsi="Calibri" w:eastAsia="Calibri" w:cs="Calibri"/>
          <w:sz w:val="24"/>
          <w:szCs w:val="24"/>
        </w:rPr>
        <w:t xml:space="preserve"> </w:t>
      </w:r>
    </w:p>
    <w:p w14:paraId="301DED4F">
      <w:pPr>
        <w:jc w:val="both"/>
        <w:rPr>
          <w:rFonts w:eastAsia="Calibri"/>
          <w:b/>
          <w:bCs/>
        </w:rPr>
      </w:pPr>
      <w:r>
        <w:rPr>
          <w:rFonts w:eastAsia="Calibri"/>
          <w:b/>
          <w:bCs/>
          <w:color w:val="2E75B6"/>
        </w:rPr>
        <w:t>What it shows</w:t>
      </w:r>
    </w:p>
    <w:p w14:paraId="74FB8DE8">
      <w:pPr>
        <w:jc w:val="both"/>
        <w:rPr>
          <w:rFonts w:eastAsia="Calibri"/>
        </w:rPr>
      </w:pPr>
      <w:r>
        <w:rPr>
          <w:rFonts w:eastAsia="Calibri"/>
        </w:rPr>
        <w:t>- % connected across two dimensions:</w:t>
      </w:r>
    </w:p>
    <w:p w14:paraId="49C52CCF">
      <w:pPr>
        <w:jc w:val="both"/>
        <w:rPr>
          <w:rFonts w:eastAsia="Calibri"/>
        </w:rPr>
      </w:pPr>
      <w:r>
        <w:rPr>
          <w:rFonts w:eastAsia="Calibri"/>
        </w:rPr>
        <w:t xml:space="preserve">  - Cultural belt (rows)</w:t>
      </w:r>
    </w:p>
    <w:p w14:paraId="2144E49D">
      <w:pPr>
        <w:jc w:val="both"/>
        <w:rPr>
          <w:rFonts w:eastAsia="Calibri"/>
        </w:rPr>
      </w:pPr>
      <w:r>
        <w:rPr>
          <w:rFonts w:eastAsia="Calibri"/>
        </w:rPr>
        <w:t xml:space="preserve">  - Peri-urban/rural type (columns)</w:t>
      </w:r>
    </w:p>
    <w:p w14:paraId="5EF84972">
      <w:pPr>
        <w:jc w:val="both"/>
        <w:rPr>
          <w:rFonts w:eastAsia="Calibri"/>
        </w:rPr>
      </w:pPr>
      <w:r>
        <w:rPr>
          <w:rFonts w:eastAsia="Calibri"/>
        </w:rPr>
        <w:t xml:space="preserve"> </w:t>
      </w:r>
    </w:p>
    <w:p w14:paraId="079700BF">
      <w:pPr>
        <w:jc w:val="both"/>
        <w:rPr>
          <w:rFonts w:eastAsia="Calibri"/>
          <w:b/>
          <w:bCs/>
        </w:rPr>
      </w:pPr>
      <w:r>
        <w:rPr>
          <w:rFonts w:eastAsia="Calibri"/>
          <w:b/>
          <w:bCs/>
          <w:color w:val="2E75B6"/>
        </w:rPr>
        <w:t>Why it’s powerful:</w:t>
      </w:r>
    </w:p>
    <w:p w14:paraId="367BE205">
      <w:pPr>
        <w:jc w:val="both"/>
        <w:rPr>
          <w:rFonts w:eastAsia="Calibri"/>
        </w:rPr>
      </w:pPr>
      <w:r>
        <w:rPr>
          <w:rFonts w:eastAsia="Calibri"/>
        </w:rPr>
        <w:t>- Instead of 1D analysis, it shows interaction effects:</w:t>
      </w:r>
    </w:p>
    <w:p w14:paraId="3868B33B">
      <w:pPr>
        <w:jc w:val="both"/>
        <w:rPr>
          <w:rFonts w:eastAsia="Calibri"/>
        </w:rPr>
      </w:pPr>
      <w:r>
        <w:rPr>
          <w:rFonts w:eastAsia="Calibri"/>
        </w:rPr>
        <w:t xml:space="preserve">  - Some cultural belts may be highly connected in peri-urban but not in rural areas.</w:t>
      </w:r>
    </w:p>
    <w:p w14:paraId="3C448A83">
      <w:pPr>
        <w:spacing w:before="80" w:after="80"/>
      </w:pPr>
    </w:p>
    <w:p w14:paraId="39547952">
      <w:pPr>
        <w:spacing w:before="80" w:after="80"/>
      </w:pPr>
    </w:p>
    <w:p w14:paraId="67DF9338">
      <w:pPr>
        <w:pStyle w:val="3"/>
      </w:pPr>
      <w:r>
        <w:t>5.1 Numeric Distribution Analysis</w:t>
      </w:r>
    </w:p>
    <w:p w14:paraId="2A8231EC">
      <w:pPr>
        <w:spacing w:before="60" w:after="60"/>
        <w:jc w:val="both"/>
      </w:pPr>
      <w:r>
        <w:t>Three numeric fields were analyzed for distribution shape:</w:t>
      </w:r>
    </w:p>
    <w:p w14:paraId="349EE5C8">
      <w:pPr>
        <w:pStyle w:val="21"/>
        <w:numPr>
          <w:ilvl w:val="0"/>
          <w:numId w:val="1"/>
        </w:numPr>
        <w:spacing w:before="40" w:after="40"/>
      </w:pPr>
      <w:r>
        <w:t>Household size range — understanding typical family units.</w:t>
      </w:r>
    </w:p>
    <w:p w14:paraId="01687CF7">
      <w:pPr>
        <w:pStyle w:val="21"/>
        <w:numPr>
          <w:ilvl w:val="0"/>
          <w:numId w:val="1"/>
        </w:numPr>
        <w:spacing w:before="40" w:after="40"/>
      </w:pPr>
      <w:r>
        <w:t>Monthly electricity spend levels — capturing expenditure patterns.</w:t>
      </w:r>
    </w:p>
    <w:p w14:paraId="235FCE6E">
      <w:pPr>
        <w:pStyle w:val="21"/>
        <w:numPr>
          <w:ilvl w:val="0"/>
          <w:numId w:val="1"/>
        </w:numPr>
        <w:spacing w:before="40" w:after="40"/>
      </w:pPr>
      <w:r>
        <w:t>Distance to nearest connected household — quantifying off-grid proximity.</w:t>
      </w:r>
    </w:p>
    <w:p w14:paraId="2B4B0B8F">
      <w:pPr>
        <w:spacing w:before="100" w:after="100"/>
      </w:pPr>
    </w:p>
    <w:p w14:paraId="55D54979">
      <w:pPr>
        <w:pStyle w:val="3"/>
      </w:pPr>
      <w:r>
        <w:t>5.2 2D Cross-Factor Heatmap</w:t>
      </w:r>
    </w:p>
    <w:p w14:paraId="4D992BA8">
      <w:pPr>
        <w:spacing w:before="60" w:after="60"/>
        <w:jc w:val="both"/>
      </w:pPr>
      <w:r>
        <w:t>A heatmap was constructed displaying the percentage of connected households across two simultaneous dimensions: Cultural Belt (rows) and Peri-urban / Rural type (columns). This cross-factor analysis reveals interaction effects — certain cultural belts may be highly connected in peri-urban settings but remain disconnected in rural ones — providing richer insight than any single-dimension analysis.</w:t>
      </w:r>
    </w:p>
    <w:p w14:paraId="01EE7796"/>
    <w:p w14:paraId="5CFF007B">
      <w:pPr>
        <w:pStyle w:val="2"/>
      </w:pPr>
      <w:r>
        <w:t>6. Validation: Spark SQL vs. DataFrame</w:t>
      </w:r>
    </w:p>
    <w:p w14:paraId="6DC618D7">
      <w:pPr>
        <w:pBdr>
          <w:bottom w:val="single" w:color="2E75B6" w:sz="6" w:space="1"/>
        </w:pBdr>
      </w:pPr>
    </w:p>
    <w:p w14:paraId="094624C5">
      <w:pPr>
        <w:spacing w:before="60" w:after="60"/>
      </w:pPr>
    </w:p>
    <w:p w14:paraId="0BC164BC">
      <w:pPr>
        <w:pStyle w:val="3"/>
      </w:pPr>
      <w:r>
        <w:t>6.1 Approach</w:t>
      </w:r>
    </w:p>
    <w:p w14:paraId="25CC7218">
      <w:pPr>
        <w:spacing w:before="60" w:after="60"/>
        <w:jc w:val="both"/>
      </w:pPr>
      <w:r>
        <w:t>To confirm correctness, the pipeline validates that SQL-based and DataFrame-based aggregations produce identical results:</w:t>
      </w:r>
    </w:p>
    <w:p w14:paraId="36A1AE38">
      <w:pPr>
        <w:pStyle w:val="21"/>
        <w:numPr>
          <w:ilvl w:val="0"/>
          <w:numId w:val="2"/>
        </w:numPr>
        <w:spacing w:before="40" w:after="40"/>
      </w:pPr>
      <w:r>
        <w:t>Register a temporary Spark view: energy_etl.</w:t>
      </w:r>
    </w:p>
    <w:p w14:paraId="0BB3BFA3">
      <w:pPr>
        <w:pStyle w:val="21"/>
        <w:numPr>
          <w:ilvl w:val="0"/>
          <w:numId w:val="2"/>
        </w:numPr>
        <w:spacing w:before="40" w:after="40"/>
      </w:pPr>
      <w:r>
        <w:t>Execute SQL aggregation: SELECT region, COUNT(*) ... GROUP BY region.</w:t>
      </w:r>
    </w:p>
    <w:p w14:paraId="254FD495">
      <w:pPr>
        <w:pStyle w:val="21"/>
        <w:numPr>
          <w:ilvl w:val="0"/>
          <w:numId w:val="2"/>
        </w:numPr>
        <w:spacing w:before="40" w:after="40"/>
      </w:pPr>
      <w:r>
        <w:t>Execute DataFrame aggregation: .groupBy("region").count().</w:t>
      </w:r>
    </w:p>
    <w:p w14:paraId="071F7B5A">
      <w:pPr>
        <w:pStyle w:val="21"/>
        <w:numPr>
          <w:ilvl w:val="0"/>
          <w:numId w:val="2"/>
        </w:numPr>
        <w:spacing w:before="40" w:after="40"/>
      </w:pPr>
      <w:r>
        <w:t>Join both result sets and compare row-by-row; expect zero mismatches.</w:t>
      </w:r>
    </w:p>
    <w:p w14:paraId="413414C7">
      <w:pPr>
        <w:spacing w:before="100" w:after="100"/>
      </w:pPr>
    </w:p>
    <w:p w14:paraId="55E3091F">
      <w:pPr>
        <w:pStyle w:val="3"/>
      </w:pPr>
      <w:r>
        <w:t>6.2 Result</w:t>
      </w:r>
    </w:p>
    <w:p w14:paraId="4362B3C6">
      <w:pPr>
        <w:spacing w:before="60" w:after="60"/>
      </w:pPr>
      <w:r>
        <w:rPr>
          <w:b/>
          <w:bCs/>
          <w:color w:val="2E5D9E"/>
        </w:rPr>
        <w:t xml:space="preserve">Validation Outcome: </w:t>
      </w:r>
      <w:r>
        <w:t>"ALL TESTS PASSED" — no mismatches detected between SQL and DataFrame aggregations.</w:t>
      </w:r>
    </w:p>
    <w:p w14:paraId="21A857FE">
      <w:pPr>
        <w:spacing w:before="60" w:after="60"/>
      </w:pPr>
    </w:p>
    <w:p w14:paraId="6A77C45F">
      <w:pPr>
        <w:spacing w:before="60" w:after="60"/>
        <w:jc w:val="center"/>
      </w:pPr>
      <w:r>
        <w:rPr>
          <w:rFonts w:ascii="Calibri" w:hAnsi="Calibri" w:eastAsia="Calibri" w:cs="Calibri"/>
          <w:sz w:val="24"/>
          <w:szCs w:val="24"/>
        </w:rPr>
        <w:drawing>
          <wp:inline distT="114300" distB="114300" distL="114300" distR="114300">
            <wp:extent cx="4419600" cy="1734820"/>
            <wp:effectExtent l="0" t="0" r="0" b="17780"/>
            <wp:docPr id="8" name="image6.png"/>
            <wp:cNvGraphicFramePr/>
            <a:graphic xmlns:a="http://schemas.openxmlformats.org/drawingml/2006/main">
              <a:graphicData uri="http://schemas.openxmlformats.org/drawingml/2006/picture">
                <pic:pic xmlns:pic="http://schemas.openxmlformats.org/drawingml/2006/picture">
                  <pic:nvPicPr>
                    <pic:cNvPr id="8" name="image6.png"/>
                    <pic:cNvPicPr preferRelativeResize="0"/>
                  </pic:nvPicPr>
                  <pic:blipFill>
                    <a:blip r:embed="rId14"/>
                    <a:srcRect/>
                    <a:stretch>
                      <a:fillRect/>
                    </a:stretch>
                  </pic:blipFill>
                  <pic:spPr>
                    <a:xfrm>
                      <a:off x="0" y="0"/>
                      <a:ext cx="4419600" cy="1734820"/>
                    </a:xfrm>
                    <a:prstGeom prst="rect">
                      <a:avLst/>
                    </a:prstGeom>
                  </pic:spPr>
                </pic:pic>
              </a:graphicData>
            </a:graphic>
          </wp:inline>
        </w:drawing>
      </w:r>
    </w:p>
    <w:p w14:paraId="081262FB">
      <w:pPr>
        <w:spacing w:before="60" w:after="60"/>
        <w:jc w:val="center"/>
      </w:pPr>
      <w:r>
        <w:drawing>
          <wp:inline distT="0" distB="0" distL="114300" distR="114300">
            <wp:extent cx="4385945" cy="1971040"/>
            <wp:effectExtent l="0" t="0" r="14605" b="1016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15"/>
                    <a:stretch>
                      <a:fillRect/>
                    </a:stretch>
                  </pic:blipFill>
                  <pic:spPr>
                    <a:xfrm>
                      <a:off x="0" y="0"/>
                      <a:ext cx="4385945" cy="1971040"/>
                    </a:xfrm>
                    <a:prstGeom prst="rect">
                      <a:avLst/>
                    </a:prstGeom>
                    <a:noFill/>
                    <a:ln>
                      <a:noFill/>
                    </a:ln>
                  </pic:spPr>
                </pic:pic>
              </a:graphicData>
            </a:graphic>
          </wp:inline>
        </w:drawing>
      </w:r>
    </w:p>
    <w:p w14:paraId="4FBF395A"/>
    <w:p w14:paraId="6D543994">
      <w:pPr>
        <w:pStyle w:val="2"/>
      </w:pPr>
      <w:r>
        <w:t>7. Performance Benchmarking</w:t>
      </w:r>
    </w:p>
    <w:p w14:paraId="516FFB8F">
      <w:pPr>
        <w:pBdr>
          <w:bottom w:val="single" w:color="2E75B6" w:sz="6" w:space="1"/>
        </w:pBdr>
      </w:pPr>
    </w:p>
    <w:p w14:paraId="370450AA">
      <w:pPr>
        <w:spacing w:before="60" w:after="60"/>
      </w:pPr>
    </w:p>
    <w:p w14:paraId="3B9E932A">
      <w:pPr>
        <w:spacing w:before="120" w:after="120"/>
        <w:jc w:val="both"/>
        <w:rPr>
          <w:rFonts w:hint="default"/>
        </w:rPr>
      </w:pPr>
      <w:r>
        <w:t xml:space="preserve">7.1 </w:t>
      </w:r>
      <w:r>
        <w:rPr>
          <w:rFonts w:hint="default"/>
        </w:rPr>
        <w:t>Detailed Analysis: Spark SQL vs. Pure Python Performance</w:t>
      </w:r>
    </w:p>
    <w:p w14:paraId="3CCEC59C">
      <w:pPr>
        <w:spacing w:before="120" w:after="120"/>
        <w:jc w:val="both"/>
      </w:pPr>
      <w:r>
        <w:rPr>
          <w:rFonts w:hint="default"/>
        </w:rPr>
        <w:t>The final benchmarking results in the notebook energy_project.ipynb provide a clear technical comparison of how these two systems handle data at different scales.</w:t>
      </w:r>
      <w:r>
        <w:drawing>
          <wp:inline distT="0" distB="0" distL="114300" distR="114300">
            <wp:extent cx="6396355" cy="2534285"/>
            <wp:effectExtent l="0" t="0" r="4445"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6396355" cy="2534285"/>
                    </a:xfrm>
                    <a:prstGeom prst="rect">
                      <a:avLst/>
                    </a:prstGeom>
                    <a:noFill/>
                    <a:ln>
                      <a:noFill/>
                    </a:ln>
                  </pic:spPr>
                </pic:pic>
              </a:graphicData>
            </a:graphic>
          </wp:inline>
        </w:drawing>
      </w:r>
    </w:p>
    <w:p w14:paraId="14C4BAB1">
      <w:pPr>
        <w:spacing w:before="120" w:after="120"/>
        <w:rPr>
          <w:rFonts w:hint="default"/>
          <w:b/>
          <w:bCs/>
          <w:lang w:val="en-US"/>
        </w:rPr>
      </w:pPr>
      <w:r>
        <w:rPr>
          <w:rFonts w:hint="default"/>
          <w:b/>
          <w:bCs/>
        </w:rPr>
        <w:t>Understanding the Results</w:t>
      </w:r>
      <w:r>
        <w:rPr>
          <w:rFonts w:hint="default"/>
          <w:b/>
          <w:bCs/>
          <w:lang w:val="en-US"/>
        </w:rPr>
        <w:t>:</w:t>
      </w:r>
    </w:p>
    <w:p w14:paraId="445598A2">
      <w:pPr>
        <w:spacing w:before="120" w:after="120"/>
        <w:rPr>
          <w:rFonts w:hint="default"/>
          <w:b/>
          <w:bCs/>
          <w:sz w:val="21"/>
          <w:szCs w:val="21"/>
          <w:lang w:val="en-US"/>
        </w:rPr>
      </w:pPr>
      <w:r>
        <w:rPr>
          <w:rFonts w:hint="default"/>
          <w:b/>
          <w:bCs/>
          <w:sz w:val="21"/>
          <w:szCs w:val="21"/>
          <w:lang w:val="en-US"/>
        </w:rPr>
        <w:t>Which is Performing Better?</w:t>
      </w:r>
    </w:p>
    <w:p w14:paraId="5715913E">
      <w:pPr>
        <w:spacing w:before="120" w:after="120"/>
        <w:rPr>
          <w:rFonts w:hint="default"/>
          <w:b w:val="0"/>
          <w:bCs w:val="0"/>
          <w:sz w:val="21"/>
          <w:szCs w:val="21"/>
          <w:lang w:val="en-US"/>
        </w:rPr>
      </w:pPr>
      <w:r>
        <w:rPr>
          <w:rFonts w:hint="default"/>
          <w:b w:val="0"/>
          <w:bCs w:val="0"/>
          <w:sz w:val="21"/>
          <w:szCs w:val="21"/>
          <w:lang w:val="en-US"/>
        </w:rPr>
        <w:t>The answer depends on the Scale of the Data :</w:t>
      </w:r>
    </w:p>
    <w:p w14:paraId="27ABF4CA">
      <w:pPr>
        <w:spacing w:before="120" w:after="120"/>
        <w:rPr>
          <w:rFonts w:hint="default"/>
          <w:b w:val="0"/>
          <w:bCs w:val="0"/>
          <w:sz w:val="21"/>
          <w:szCs w:val="21"/>
          <w:lang w:val="en-US"/>
        </w:rPr>
      </w:pPr>
      <w:r>
        <w:rPr>
          <w:rFonts w:hint="default"/>
          <w:b/>
          <w:bCs/>
          <w:sz w:val="21"/>
          <w:szCs w:val="21"/>
          <w:lang w:val="en-US"/>
        </w:rPr>
        <w:t xml:space="preserve">- For Small Data (&lt; 5,000 rows): </w:t>
      </w:r>
      <w:r>
        <w:rPr>
          <w:rFonts w:hint="default"/>
          <w:b w:val="0"/>
          <w:bCs w:val="0"/>
          <w:sz w:val="21"/>
          <w:szCs w:val="21"/>
          <w:lang w:val="en-US"/>
        </w:rPr>
        <w:t xml:space="preserve">Pure Python is the clear winner. It starts almost instantly and finishes the task before Spark can even finish "thinking" about how </w:t>
      </w:r>
      <w:bookmarkStart w:id="0" w:name="_GoBack"/>
      <w:bookmarkEnd w:id="0"/>
      <w:r>
        <w:rPr>
          <w:rFonts w:hint="default"/>
          <w:b w:val="0"/>
          <w:bCs w:val="0"/>
          <w:sz w:val="21"/>
          <w:szCs w:val="21"/>
          <w:lang w:val="en-US"/>
        </w:rPr>
        <w:t>to organize the work.</w:t>
      </w:r>
    </w:p>
    <w:p w14:paraId="1F3AF401">
      <w:pPr>
        <w:spacing w:before="120" w:after="120"/>
        <w:rPr>
          <w:rFonts w:hint="default"/>
          <w:b w:val="0"/>
          <w:bCs w:val="0"/>
          <w:sz w:val="21"/>
          <w:szCs w:val="21"/>
          <w:lang w:val="en-US"/>
        </w:rPr>
      </w:pPr>
      <w:r>
        <w:rPr>
          <w:rFonts w:hint="default"/>
          <w:b/>
          <w:bCs/>
          <w:sz w:val="21"/>
          <w:szCs w:val="21"/>
          <w:lang w:val="en-US"/>
        </w:rPr>
        <w:t>- For Large Data (&gt; 8,000 rows)</w:t>
      </w:r>
      <w:r>
        <w:rPr>
          <w:rFonts w:hint="default"/>
          <w:b w:val="0"/>
          <w:bCs w:val="0"/>
          <w:sz w:val="21"/>
          <w:szCs w:val="21"/>
          <w:lang w:val="en-US"/>
        </w:rPr>
        <w:t>: Spark SQL takes the lead. As the dataset size doubles, Python's time doubles (linear growth), while Spark's time actually stays relatively flat or grows very slowly.</w:t>
      </w:r>
    </w:p>
    <w:p w14:paraId="48C02747">
      <w:pPr>
        <w:spacing w:before="120" w:after="120"/>
        <w:jc w:val="center"/>
      </w:pPr>
      <w:r>
        <w:drawing>
          <wp:inline distT="0" distB="0" distL="114300" distR="114300">
            <wp:extent cx="3376295" cy="1049655"/>
            <wp:effectExtent l="0" t="0" r="14605"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3376295" cy="1049655"/>
                    </a:xfrm>
                    <a:prstGeom prst="rect">
                      <a:avLst/>
                    </a:prstGeom>
                    <a:noFill/>
                    <a:ln>
                      <a:noFill/>
                    </a:ln>
                  </pic:spPr>
                </pic:pic>
              </a:graphicData>
            </a:graphic>
          </wp:inline>
        </w:drawing>
      </w:r>
    </w:p>
    <w:p w14:paraId="20EDFD42">
      <w:pPr>
        <w:spacing w:before="120" w:after="120"/>
        <w:rPr>
          <w:rFonts w:hint="default"/>
          <w:lang w:val="en-US"/>
        </w:rPr>
      </w:pPr>
    </w:p>
    <w:p w14:paraId="7B95AD5C">
      <w:pPr>
        <w:spacing w:before="120" w:after="120"/>
        <w:rPr>
          <w:rFonts w:hint="default"/>
          <w:b/>
          <w:bCs/>
          <w:sz w:val="21"/>
          <w:szCs w:val="21"/>
          <w:lang w:val="en-US"/>
        </w:rPr>
      </w:pPr>
      <w:r>
        <w:rPr>
          <w:rFonts w:hint="default"/>
          <w:b/>
          <w:bCs/>
          <w:sz w:val="21"/>
          <w:szCs w:val="21"/>
          <w:lang w:val="en-US"/>
        </w:rPr>
        <w:t>Why is this happening? (The Technical Reasons) Why Python wins at small scale:</w:t>
      </w:r>
    </w:p>
    <w:p w14:paraId="60565DF2">
      <w:pPr>
        <w:spacing w:before="120" w:after="120"/>
        <w:rPr>
          <w:rFonts w:hint="default"/>
          <w:b w:val="0"/>
          <w:bCs w:val="0"/>
          <w:sz w:val="21"/>
          <w:szCs w:val="21"/>
          <w:lang w:val="en-US"/>
        </w:rPr>
      </w:pPr>
      <w:r>
        <w:rPr>
          <w:rFonts w:hint="default"/>
          <w:b/>
          <w:bCs/>
          <w:sz w:val="21"/>
          <w:szCs w:val="21"/>
          <w:lang w:val="en-US"/>
        </w:rPr>
        <w:t xml:space="preserve">- Zero Overhead: </w:t>
      </w:r>
      <w:r>
        <w:rPr>
          <w:rFonts w:hint="default"/>
          <w:b w:val="0"/>
          <w:bCs w:val="0"/>
          <w:sz w:val="21"/>
          <w:szCs w:val="21"/>
          <w:lang w:val="en-US"/>
        </w:rPr>
        <w:t>Python’s csv.DictReader simply opens the file and starts reading the first line immediately.</w:t>
      </w:r>
    </w:p>
    <w:p w14:paraId="3CFA8703">
      <w:pPr>
        <w:spacing w:before="120" w:after="120"/>
        <w:rPr>
          <w:rFonts w:hint="default"/>
          <w:b w:val="0"/>
          <w:bCs w:val="0"/>
          <w:sz w:val="21"/>
          <w:szCs w:val="21"/>
          <w:lang w:val="en-US"/>
        </w:rPr>
      </w:pPr>
      <w:r>
        <w:rPr>
          <w:rFonts w:hint="default"/>
          <w:b/>
          <w:bCs/>
          <w:sz w:val="21"/>
          <w:szCs w:val="21"/>
          <w:lang w:val="en-US"/>
        </w:rPr>
        <w:t xml:space="preserve">- No Coordination Cost: </w:t>
      </w:r>
      <w:r>
        <w:rPr>
          <w:rFonts w:hint="default"/>
          <w:b w:val="0"/>
          <w:bCs w:val="0"/>
          <w:sz w:val="21"/>
          <w:szCs w:val="21"/>
          <w:lang w:val="en-US"/>
        </w:rPr>
        <w:t>Since it is single-threaded, it doesn't have to spend time dividing the file into pieces or coordinating between different CPU cores.</w:t>
      </w:r>
    </w:p>
    <w:p w14:paraId="0C594E5E">
      <w:pPr>
        <w:spacing w:before="120" w:after="120"/>
        <w:rPr>
          <w:rFonts w:hint="default"/>
          <w:b w:val="0"/>
          <w:bCs w:val="0"/>
          <w:sz w:val="21"/>
          <w:szCs w:val="21"/>
          <w:lang w:val="en-US"/>
        </w:rPr>
      </w:pPr>
      <w:r>
        <w:rPr>
          <w:rFonts w:hint="default"/>
          <w:b/>
          <w:bCs/>
          <w:sz w:val="21"/>
          <w:szCs w:val="21"/>
          <w:lang w:val="en-US"/>
        </w:rPr>
        <w:t>- Spark's "Startup Tax":</w:t>
      </w:r>
      <w:r>
        <w:rPr>
          <w:rFonts w:hint="default"/>
          <w:b w:val="0"/>
          <w:bCs w:val="0"/>
          <w:sz w:val="21"/>
          <w:szCs w:val="21"/>
          <w:lang w:val="en-US"/>
        </w:rPr>
        <w:t xml:space="preserve"> Spark is a massive engine running on the JVM (Java Virtual Machine). Even for 1 row, Spark must check the schema, build a logical execution plan, and schedule a "task" on a worker. This setup takes about 0.5 to 0.7 seconds regardless of data size. Why Spark SQL wins at large scale:</w:t>
      </w:r>
    </w:p>
    <w:p w14:paraId="52B43FB8">
      <w:pPr>
        <w:spacing w:before="120" w:after="120"/>
        <w:rPr>
          <w:rFonts w:hint="default"/>
          <w:b w:val="0"/>
          <w:bCs w:val="0"/>
          <w:sz w:val="21"/>
          <w:szCs w:val="21"/>
          <w:lang w:val="en-US"/>
        </w:rPr>
      </w:pPr>
      <w:r>
        <w:rPr>
          <w:rFonts w:hint="default"/>
          <w:b/>
          <w:bCs/>
          <w:sz w:val="21"/>
          <w:szCs w:val="21"/>
          <w:lang w:val="en-US"/>
        </w:rPr>
        <w:t xml:space="preserve">- Parallelism: </w:t>
      </w:r>
      <w:r>
        <w:rPr>
          <w:rFonts w:hint="default"/>
          <w:b w:val="0"/>
          <w:bCs w:val="0"/>
          <w:sz w:val="21"/>
          <w:szCs w:val="21"/>
          <w:lang w:val="en-US"/>
        </w:rPr>
        <w:t>While Python is stuck reading one row at a time on a single CPU core, Spark breaks the 8,000+ rows into partitions and processes them across all your CPU cores simultaneously .</w:t>
      </w:r>
    </w:p>
    <w:p w14:paraId="6FB94513">
      <w:pPr>
        <w:spacing w:before="120" w:after="120"/>
        <w:rPr>
          <w:rFonts w:hint="default"/>
          <w:b w:val="0"/>
          <w:bCs w:val="0"/>
          <w:sz w:val="21"/>
          <w:szCs w:val="21"/>
          <w:lang w:val="en-US"/>
        </w:rPr>
      </w:pPr>
      <w:r>
        <w:rPr>
          <w:rFonts w:hint="default"/>
          <w:b/>
          <w:bCs/>
          <w:sz w:val="21"/>
          <w:szCs w:val="21"/>
          <w:lang w:val="en-US"/>
        </w:rPr>
        <w:t xml:space="preserve">- The Catalyst Optimizer: </w:t>
      </w:r>
      <w:r>
        <w:rPr>
          <w:rFonts w:hint="default"/>
          <w:b w:val="0"/>
          <w:bCs w:val="0"/>
          <w:sz w:val="21"/>
          <w:szCs w:val="21"/>
          <w:lang w:val="en-US"/>
        </w:rPr>
        <w:t>Spark SQL doesn't just "read" the CSV. It analyzes the query SELECT Region, COUNT(*) . It realizes it only needs one column and ignores the other 100+ columns in your file. Python's DictReader parses the entire line into a dictionary, which is much heavier.</w:t>
      </w:r>
    </w:p>
    <w:p w14:paraId="65461CB0">
      <w:pPr>
        <w:spacing w:before="120" w:after="120"/>
        <w:rPr>
          <w:rFonts w:hint="default"/>
          <w:b w:val="0"/>
          <w:bCs w:val="0"/>
          <w:sz w:val="21"/>
          <w:szCs w:val="21"/>
          <w:lang w:val="en-US"/>
        </w:rPr>
      </w:pPr>
      <w:r>
        <w:rPr>
          <w:rFonts w:hint="default"/>
          <w:b/>
          <w:bCs/>
          <w:sz w:val="21"/>
          <w:szCs w:val="21"/>
          <w:lang w:val="en-US"/>
        </w:rPr>
        <w:t>- Tungsten Engine:</w:t>
      </w:r>
      <w:r>
        <w:rPr>
          <w:rFonts w:hint="default"/>
          <w:b w:val="0"/>
          <w:bCs w:val="0"/>
          <w:sz w:val="21"/>
          <w:szCs w:val="21"/>
          <w:lang w:val="en-US"/>
        </w:rPr>
        <w:t xml:space="preserve"> Spark uses a specialized memory manager called Tungsten that stores data in compact binary format. This avoids "Garbage Collection" issues that slow down Python when it tries to manage thousands of individual string objects.</w:t>
      </w:r>
    </w:p>
    <w:p w14:paraId="059F3C98">
      <w:pPr>
        <w:spacing w:before="120" w:after="120"/>
        <w:rPr>
          <w:rFonts w:hint="default"/>
          <w:b w:val="0"/>
          <w:bCs w:val="0"/>
          <w:sz w:val="21"/>
          <w:szCs w:val="21"/>
          <w:lang w:val="en-US"/>
        </w:rPr>
      </w:pPr>
    </w:p>
    <w:p w14:paraId="42D587F0">
      <w:pPr>
        <w:spacing w:before="120" w:after="120"/>
        <w:rPr>
          <w:rFonts w:hint="default"/>
          <w:b w:val="0"/>
          <w:bCs w:val="0"/>
          <w:sz w:val="21"/>
          <w:szCs w:val="21"/>
          <w:lang w:val="en-US"/>
        </w:rPr>
      </w:pPr>
      <w:r>
        <w:rPr>
          <w:rFonts w:hint="default"/>
          <w:b w:val="0"/>
          <w:bCs w:val="0"/>
          <w:sz w:val="21"/>
          <w:szCs w:val="21"/>
          <w:lang w:val="en-US"/>
        </w:rPr>
        <w:t>The Crossover Point: In this specific project, the "efficiency crossover" happens at approximately 6,000 - 7,000 rows . Beyond this point, Spark is the superior choice for any energy data analysis.</w:t>
      </w:r>
    </w:p>
    <w:p w14:paraId="4A7F70EB">
      <w:pPr>
        <w:spacing w:before="120" w:after="120"/>
        <w:rPr>
          <w:rFonts w:hint="default"/>
          <w:b w:val="0"/>
          <w:bCs w:val="0"/>
          <w:sz w:val="21"/>
          <w:szCs w:val="21"/>
          <w:lang w:val="en-US"/>
        </w:rPr>
      </w:pPr>
    </w:p>
    <w:p w14:paraId="3774F09A">
      <w:pPr>
        <w:pStyle w:val="3"/>
      </w:pPr>
      <w:r>
        <w:t>7.2 Results Summary</w:t>
      </w:r>
    </w:p>
    <w:p w14:paraId="208F3580">
      <w:pPr>
        <w:spacing w:before="60"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32513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729636BE">
            <w:pPr>
              <w:jc w:val="center"/>
            </w:pPr>
            <w:r>
              <w:rPr>
                <w:b/>
                <w:bCs/>
                <w:color w:val="FFFFFF"/>
                <w:sz w:val="20"/>
                <w:szCs w:val="20"/>
              </w:rPr>
              <w:t>Dataset Size</w:t>
            </w:r>
          </w:p>
        </w:tc>
        <w:tc>
          <w:tcPr>
            <w:tcW w:w="312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12E1AAE0">
            <w:pPr>
              <w:jc w:val="center"/>
            </w:pPr>
            <w:r>
              <w:rPr>
                <w:b/>
                <w:bCs/>
                <w:color w:val="FFFFFF"/>
                <w:sz w:val="20"/>
                <w:szCs w:val="20"/>
              </w:rPr>
              <w:t>Spark vs Python</w:t>
            </w:r>
          </w:p>
        </w:tc>
        <w:tc>
          <w:tcPr>
            <w:tcW w:w="3120" w:type="dxa"/>
            <w:tcBorders>
              <w:top w:val="single" w:color="B8C9E1" w:sz="0" w:space="0"/>
              <w:left w:val="single" w:color="B8C9E1" w:sz="0" w:space="0"/>
              <w:bottom w:val="single" w:color="B8C9E1" w:sz="0" w:space="0"/>
              <w:right w:val="single" w:color="B8C9E1" w:sz="0" w:space="0"/>
            </w:tcBorders>
            <w:shd w:val="clear" w:color="auto" w:fill="2E5D9E"/>
            <w:tcMar>
              <w:top w:w="100" w:type="dxa"/>
              <w:left w:w="140" w:type="dxa"/>
              <w:bottom w:w="100" w:type="dxa"/>
              <w:right w:w="140" w:type="dxa"/>
            </w:tcMar>
            <w:vAlign w:val="center"/>
          </w:tcPr>
          <w:p w14:paraId="56F6F5AD">
            <w:pPr>
              <w:jc w:val="center"/>
            </w:pPr>
            <w:r>
              <w:rPr>
                <w:b/>
                <w:bCs/>
                <w:color w:val="FFFFFF"/>
                <w:sz w:val="20"/>
                <w:szCs w:val="20"/>
              </w:rPr>
              <w:t>Reason</w:t>
            </w:r>
          </w:p>
        </w:tc>
      </w:tr>
      <w:tr w14:paraId="3C7D0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1A751246">
            <w:r>
              <w:rPr>
                <w:b/>
                <w:bCs/>
                <w:sz w:val="20"/>
                <w:szCs w:val="20"/>
              </w:rPr>
              <w:t>Small Scale (&lt;1,000 rows)</w:t>
            </w:r>
          </w:p>
        </w:tc>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6B50C73B">
            <w:r>
              <w:rPr>
                <w:sz w:val="20"/>
                <w:szCs w:val="20"/>
              </w:rPr>
              <w:t>Comparable / Slightly Slower</w:t>
            </w:r>
          </w:p>
        </w:tc>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0B8B6474">
            <w:r>
              <w:rPr>
                <w:sz w:val="20"/>
                <w:szCs w:val="20"/>
              </w:rPr>
              <w:t>Startup overhead (JVM init)</w:t>
            </w:r>
          </w:p>
        </w:tc>
      </w:tr>
      <w:tr w14:paraId="53873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2DFBDFE4">
            <w:r>
              <w:rPr>
                <w:b/>
                <w:bCs/>
                <w:sz w:val="20"/>
                <w:szCs w:val="20"/>
              </w:rPr>
              <w:t>Medium Scale</w:t>
            </w:r>
          </w:p>
        </w:tc>
        <w:tc>
          <w:tcPr>
            <w:tcW w:w="312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2F73BA3B">
            <w:r>
              <w:rPr>
                <w:sz w:val="20"/>
                <w:szCs w:val="20"/>
              </w:rPr>
              <w:t>Faster</w:t>
            </w:r>
          </w:p>
        </w:tc>
        <w:tc>
          <w:tcPr>
            <w:tcW w:w="3120" w:type="dxa"/>
            <w:tcBorders>
              <w:top w:val="single" w:color="B8C9E1" w:sz="0" w:space="0"/>
              <w:left w:val="single" w:color="B8C9E1" w:sz="0" w:space="0"/>
              <w:bottom w:val="single" w:color="B8C9E1" w:sz="0" w:space="0"/>
              <w:right w:val="single" w:color="B8C9E1" w:sz="0" w:space="0"/>
            </w:tcBorders>
            <w:shd w:val="clear" w:color="auto" w:fill="FFFFFF"/>
            <w:tcMar>
              <w:top w:w="80" w:type="dxa"/>
              <w:left w:w="140" w:type="dxa"/>
              <w:bottom w:w="80" w:type="dxa"/>
              <w:right w:w="140" w:type="dxa"/>
            </w:tcMar>
            <w:vAlign w:val="center"/>
          </w:tcPr>
          <w:p w14:paraId="24D1B538">
            <w:r>
              <w:rPr>
                <w:sz w:val="20"/>
                <w:szCs w:val="20"/>
              </w:rPr>
              <w:t>Lazy evaluation + optimizer</w:t>
            </w:r>
          </w:p>
        </w:tc>
      </w:tr>
      <w:tr w14:paraId="4E27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03D35E9B">
            <w:r>
              <w:rPr>
                <w:b/>
                <w:bCs/>
                <w:sz w:val="20"/>
                <w:szCs w:val="20"/>
              </w:rPr>
              <w:t>Large Scale (100k+ rows)</w:t>
            </w:r>
          </w:p>
        </w:tc>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5F43E710">
            <w:r>
              <w:rPr>
                <w:sz w:val="20"/>
                <w:szCs w:val="20"/>
              </w:rPr>
              <w:t>Significantly Faster</w:t>
            </w:r>
          </w:p>
        </w:tc>
        <w:tc>
          <w:tcPr>
            <w:tcW w:w="3120" w:type="dxa"/>
            <w:tcBorders>
              <w:top w:val="single" w:color="B8C9E1" w:sz="0" w:space="0"/>
              <w:left w:val="single" w:color="B8C9E1" w:sz="0" w:space="0"/>
              <w:bottom w:val="single" w:color="B8C9E1" w:sz="0" w:space="0"/>
              <w:right w:val="single" w:color="B8C9E1" w:sz="0" w:space="0"/>
            </w:tcBorders>
            <w:shd w:val="clear" w:color="auto" w:fill="F2F6FC"/>
            <w:tcMar>
              <w:top w:w="80" w:type="dxa"/>
              <w:left w:w="140" w:type="dxa"/>
              <w:bottom w:w="80" w:type="dxa"/>
              <w:right w:w="140" w:type="dxa"/>
            </w:tcMar>
            <w:vAlign w:val="center"/>
          </w:tcPr>
          <w:p w14:paraId="39BBF361">
            <w:r>
              <w:rPr>
                <w:sz w:val="20"/>
                <w:szCs w:val="20"/>
              </w:rPr>
              <w:t>Distributed parallelism</w:t>
            </w:r>
          </w:p>
        </w:tc>
      </w:tr>
    </w:tbl>
    <w:p w14:paraId="6D4F7038">
      <w:pPr>
        <w:spacing w:before="80" w:after="80"/>
      </w:pPr>
    </w:p>
    <w:p w14:paraId="25E7753E"/>
    <w:p w14:paraId="31884233">
      <w:pPr>
        <w:pStyle w:val="2"/>
      </w:pPr>
      <w:r>
        <w:t>8. Results Summary</w:t>
      </w:r>
    </w:p>
    <w:p w14:paraId="54CC0F91">
      <w:pPr>
        <w:pBdr>
          <w:bottom w:val="single" w:color="2E75B6" w:sz="6" w:space="1"/>
        </w:pBdr>
      </w:pPr>
    </w:p>
    <w:p w14:paraId="4B515EC1">
      <w:pPr>
        <w:spacing w:before="60" w:after="60"/>
      </w:pPr>
    </w:p>
    <w:p w14:paraId="0818B964">
      <w:pPr>
        <w:spacing w:before="60" w:after="60"/>
        <w:jc w:val="both"/>
      </w:pPr>
      <w:r>
        <w:t>The following major outcomes were achieved through this project:</w:t>
      </w:r>
    </w:p>
    <w:p w14:paraId="0143BC53">
      <w:pPr>
        <w:pStyle w:val="21"/>
        <w:numPr>
          <w:ilvl w:val="0"/>
          <w:numId w:val="1"/>
        </w:numPr>
        <w:spacing w:before="40" w:after="40"/>
      </w:pPr>
      <w:r>
        <w:t>Constructed a scalable PySpark ETL pipeline capable of processing large household survey datasets.</w:t>
      </w:r>
    </w:p>
    <w:p w14:paraId="2A6AC7EC">
      <w:pPr>
        <w:pStyle w:val="21"/>
        <w:numPr>
          <w:ilvl w:val="0"/>
          <w:numId w:val="1"/>
        </w:numPr>
        <w:spacing w:before="40" w:after="40"/>
      </w:pPr>
      <w:r>
        <w:t>Validated correctness: Spark SQL and DataFrame APIs produce consistent aggregation results.</w:t>
      </w:r>
    </w:p>
    <w:p w14:paraId="2AC31F1F">
      <w:pPr>
        <w:pStyle w:val="21"/>
        <w:numPr>
          <w:ilvl w:val="0"/>
          <w:numId w:val="1"/>
        </w:numPr>
        <w:spacing w:before="40" w:after="40"/>
      </w:pPr>
      <w:r>
        <w:t>Generated six unique analytical visualizations covering coverage, equity, connection rates, numeric distributions, 2D cross-factor studies, and infrastructure barriers.</w:t>
      </w:r>
    </w:p>
    <w:p w14:paraId="73B4DF91">
      <w:pPr>
        <w:pStyle w:val="21"/>
        <w:numPr>
          <w:ilvl w:val="0"/>
          <w:numId w:val="1"/>
        </w:numPr>
        <w:spacing w:before="40" w:after="40"/>
      </w:pPr>
      <w:r>
        <w:t>Enforced strict data filtering to eliminate NULL, UNKNOWN, and empty label artifacts.</w:t>
      </w:r>
    </w:p>
    <w:p w14:paraId="369D1C09">
      <w:pPr>
        <w:pStyle w:val="21"/>
        <w:numPr>
          <w:ilvl w:val="0"/>
          <w:numId w:val="1"/>
        </w:numPr>
        <w:spacing w:before="40" w:after="40"/>
      </w:pPr>
      <w:r>
        <w:t>Exported all visualizations as JPG files for consistent submission and portability.</w:t>
      </w:r>
    </w:p>
    <w:p w14:paraId="3D143BC4">
      <w:pPr>
        <w:spacing w:before="120" w:after="120"/>
      </w:pPr>
    </w:p>
    <w:p w14:paraId="64F1F0ED">
      <w:pPr>
        <w:pStyle w:val="2"/>
      </w:pPr>
      <w:r>
        <w:t>9. Conclusion</w:t>
      </w:r>
    </w:p>
    <w:p w14:paraId="155EF0D5">
      <w:pPr>
        <w:pBdr>
          <w:bottom w:val="single" w:color="2E75B6" w:sz="6" w:space="1"/>
        </w:pBdr>
      </w:pPr>
    </w:p>
    <w:p w14:paraId="0F1C9F59">
      <w:pPr>
        <w:spacing w:before="60" w:after="60"/>
      </w:pPr>
    </w:p>
    <w:p w14:paraId="1950F796">
      <w:pPr>
        <w:spacing w:before="60" w:after="60"/>
        <w:jc w:val="both"/>
      </w:pPr>
      <w:r>
        <w:t>This project demonstrated that Apache Spark is an effective and scalable framework for large-scale survey analytics. Key takeaways include:</w:t>
      </w:r>
    </w:p>
    <w:p w14:paraId="50F86A22">
      <w:pPr>
        <w:pStyle w:val="21"/>
        <w:numPr>
          <w:ilvl w:val="0"/>
          <w:numId w:val="1"/>
        </w:numPr>
        <w:spacing w:before="40" w:after="40"/>
      </w:pPr>
      <w:r>
        <w:t>Spark enables efficient ETL at scale with multiple parallel analysis pipelines.</w:t>
      </w:r>
    </w:p>
    <w:p w14:paraId="2AFCD03F">
      <w:pPr>
        <w:pStyle w:val="21"/>
        <w:numPr>
          <w:ilvl w:val="0"/>
          <w:numId w:val="1"/>
        </w:numPr>
        <w:spacing w:before="40" w:after="40"/>
      </w:pPr>
      <w:r>
        <w:t>SQL and DataFrame interfaces yield equivalent results, providing flexibility without sacrificing correctness.</w:t>
      </w:r>
    </w:p>
    <w:p w14:paraId="3789A1CD">
      <w:pPr>
        <w:pStyle w:val="21"/>
        <w:numPr>
          <w:ilvl w:val="0"/>
          <w:numId w:val="1"/>
        </w:numPr>
        <w:spacing w:before="40" w:after="40"/>
      </w:pPr>
      <w:r>
        <w:t>Strict data cleaning rules materially improve the quality and interpretability of visual outputs.</w:t>
      </w:r>
    </w:p>
    <w:p w14:paraId="4E72F3B7">
      <w:pPr>
        <w:pStyle w:val="21"/>
        <w:numPr>
          <w:ilvl w:val="0"/>
          <w:numId w:val="1"/>
        </w:numPr>
        <w:spacing w:before="40" w:after="40"/>
      </w:pPr>
      <w:r>
        <w:t>Visual analytics provide evidence-based insights into energy access distribution across regions and districts, inequality factors (SEC category, rural/urban classification, education), and potential infrastructure barriers (distance, reasons for non-connection).</w:t>
      </w:r>
    </w:p>
    <w:p w14:paraId="6BBC7BFE">
      <w:pPr>
        <w:spacing w:before="80" w:after="80"/>
      </w:pPr>
    </w:p>
    <w:p w14:paraId="1D599665">
      <w:pPr>
        <w:spacing w:before="60" w:after="60"/>
        <w:jc w:val="both"/>
      </w:pPr>
      <w:r>
        <w:rPr>
          <w:i/>
          <w:iCs/>
        </w:rPr>
        <w:t>As dataset sizes grow, Spark's distributed architecture delivers exponentially greater speedups over single-threaded Python, confirming its suitability as the foundation for large-scale data engineering workflows.</w:t>
      </w:r>
    </w:p>
    <w:sectPr>
      <w:headerReference r:id="rId3" w:type="default"/>
      <w:footerReference r:id="rId4"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7543">
    <w:pPr>
      <w:pBdr>
        <w:top w:val="single" w:color="2E75B6" w:sz="6" w:space="1"/>
      </w:pBdr>
      <w:tabs>
        <w:tab w:val="right" w:pos="9026"/>
      </w:tabs>
      <w:spacing w:before="60"/>
    </w:pPr>
    <w:r>
      <w:rPr>
        <w:color w:val="2E5D9E"/>
        <w:sz w:val="18"/>
        <w:szCs w:val="18"/>
      </w:rPr>
      <w:t>Parallel and Distributed Computing</w:t>
    </w:r>
    <w:r>
      <w:rPr>
        <w:color w:val="2E5D9E"/>
        <w:sz w:val="18"/>
        <w:szCs w:val="18"/>
      </w:rPr>
      <w:tab/>
    </w:r>
    <w:r>
      <w:rPr>
        <w:color w:val="2E5D9E"/>
        <w:sz w:val="18"/>
        <w:szCs w:val="18"/>
      </w:rPr>
      <w:t xml:space="preserve">Page </w:t>
    </w:r>
    <w:r>
      <w:rPr>
        <w:color w:val="2E5D9E"/>
        <w:sz w:val="18"/>
        <w:szCs w:val="18"/>
      </w:rPr>
      <w:fldChar w:fldCharType="begin"/>
    </w:r>
    <w:r>
      <w:rPr>
        <w:color w:val="2E5D9E"/>
        <w:sz w:val="18"/>
        <w:szCs w:val="18"/>
      </w:rPr>
      <w:instrText xml:space="preserve">PAGE</w:instrText>
    </w:r>
    <w:r>
      <w:rPr>
        <w:color w:val="2E5D9E"/>
        <w:sz w:val="18"/>
        <w:szCs w:val="18"/>
      </w:rPr>
      <w:fldChar w:fldCharType="separate"/>
    </w:r>
    <w:r>
      <w:rPr>
        <w:color w:val="2E5D9E"/>
        <w:sz w:val="18"/>
        <w:szCs w:val="18"/>
      </w:rPr>
      <w:t>1</w:t>
    </w:r>
    <w:r>
      <w:rPr>
        <w:color w:val="2E5D9E"/>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1F9759">
    <w:pPr>
      <w:pBdr>
        <w:bottom w:val="single" w:color="2E75B6" w:sz="6" w:space="1"/>
      </w:pBdr>
      <w:spacing w:after="60"/>
    </w:pPr>
    <w:r>
      <w:rPr>
        <w:color w:val="2E5D9E"/>
        <w:sz w:val="18"/>
        <w:szCs w:val="18"/>
      </w:rPr>
      <w:t>PDC Project Report  —  Pakistan Energy Access Survey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514362"/>
    <w:multiLevelType w:val="multilevel"/>
    <w:tmpl w:val="4A514362"/>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A862F8E"/>
    <w:multiLevelType w:val="multilevel"/>
    <w:tmpl w:val="7A862F8E"/>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4E24"/>
    <w:rsid w:val="00620B6F"/>
    <w:rsid w:val="00774E24"/>
    <w:rsid w:val="00D01B3B"/>
    <w:rsid w:val="00E970FC"/>
    <w:rsid w:val="0F0D7E9A"/>
    <w:rsid w:val="11677C0D"/>
    <w:rsid w:val="5E0019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404040"/>
      <w:sz w:val="22"/>
      <w:szCs w:val="22"/>
      <w:lang w:val="en-US" w:eastAsia="en-US" w:bidi="ar-SA"/>
    </w:rPr>
  </w:style>
  <w:style w:type="paragraph" w:styleId="2">
    <w:name w:val="heading 1"/>
    <w:qFormat/>
    <w:uiPriority w:val="9"/>
    <w:pPr>
      <w:spacing w:before="300" w:after="80"/>
      <w:outlineLvl w:val="0"/>
    </w:pPr>
    <w:rPr>
      <w:rFonts w:ascii="Arial" w:hAnsi="Arial" w:eastAsia="Arial" w:cs="Arial"/>
      <w:b/>
      <w:bCs/>
      <w:color w:val="1F3864"/>
      <w:sz w:val="28"/>
      <w:szCs w:val="28"/>
      <w:lang w:val="en-US" w:eastAsia="en-US" w:bidi="ar-SA"/>
    </w:rPr>
  </w:style>
  <w:style w:type="paragraph" w:styleId="3">
    <w:name w:val="heading 2"/>
    <w:unhideWhenUsed/>
    <w:qFormat/>
    <w:uiPriority w:val="9"/>
    <w:pPr>
      <w:spacing w:before="240" w:after="60"/>
      <w:outlineLvl w:val="1"/>
    </w:pPr>
    <w:rPr>
      <w:rFonts w:ascii="Arial" w:hAnsi="Arial" w:eastAsia="Arial" w:cs="Arial"/>
      <w:b/>
      <w:bCs/>
      <w:color w:val="2E5D9E"/>
      <w:sz w:val="24"/>
      <w:szCs w:val="24"/>
      <w:lang w:val="en-US" w:eastAsia="en-US" w:bidi="ar-SA"/>
    </w:rPr>
  </w:style>
  <w:style w:type="paragraph" w:styleId="4">
    <w:name w:val="heading 3"/>
    <w:unhideWhenUsed/>
    <w:qFormat/>
    <w:uiPriority w:val="9"/>
    <w:pPr>
      <w:spacing w:before="180" w:after="60"/>
      <w:outlineLvl w:val="2"/>
    </w:pPr>
    <w:rPr>
      <w:rFonts w:ascii="Arial" w:hAnsi="Arial" w:eastAsia="Arial" w:cs="Arial"/>
      <w:b/>
      <w:bCs/>
      <w:color w:val="2E75B6"/>
      <w:sz w:val="22"/>
      <w:szCs w:val="22"/>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6"/>
    <w:semiHidden/>
    <w:unhideWhenUsed/>
    <w:qFormat/>
    <w:uiPriority w:val="99"/>
    <w:rPr>
      <w:rFonts w:ascii="Segoe UI" w:hAnsi="Segoe UI" w:cs="Segoe UI"/>
      <w:sz w:val="18"/>
      <w:szCs w:val="18"/>
    </w:rPr>
  </w:style>
  <w:style w:type="character" w:styleId="11">
    <w:name w:val="annotation reference"/>
    <w:basedOn w:val="8"/>
    <w:semiHidden/>
    <w:unhideWhenUsed/>
    <w:qFormat/>
    <w:uiPriority w:val="99"/>
    <w:rPr>
      <w:sz w:val="16"/>
      <w:szCs w:val="16"/>
    </w:rPr>
  </w:style>
  <w:style w:type="paragraph" w:styleId="12">
    <w:name w:val="annotation text"/>
    <w:basedOn w:val="1"/>
    <w:link w:val="24"/>
    <w:semiHidden/>
    <w:unhideWhenUsed/>
    <w:qFormat/>
    <w:uiPriority w:val="99"/>
    <w:rPr>
      <w:sz w:val="20"/>
      <w:szCs w:val="20"/>
    </w:rPr>
  </w:style>
  <w:style w:type="paragraph" w:styleId="13">
    <w:name w:val="annotation subject"/>
    <w:basedOn w:val="12"/>
    <w:next w:val="12"/>
    <w:link w:val="25"/>
    <w:semiHidden/>
    <w:unhideWhenUsed/>
    <w:qFormat/>
    <w:uiPriority w:val="99"/>
    <w:rPr>
      <w:b/>
      <w:bCs/>
    </w:rPr>
  </w:style>
  <w:style w:type="character" w:styleId="14">
    <w:name w:val="endnote reference"/>
    <w:semiHidden/>
    <w:unhideWhenUsed/>
    <w:qFormat/>
    <w:uiPriority w:val="99"/>
    <w:rPr>
      <w:vertAlign w:val="superscript"/>
    </w:rPr>
  </w:style>
  <w:style w:type="paragraph" w:styleId="15">
    <w:name w:val="endnote text"/>
    <w:link w:val="23"/>
    <w:semiHidden/>
    <w:unhideWhenUsed/>
    <w:qFormat/>
    <w:uiPriority w:val="99"/>
    <w:rPr>
      <w:rFonts w:ascii="Arial" w:hAnsi="Arial" w:eastAsia="Arial" w:cs="Arial"/>
      <w:color w:val="404040"/>
      <w:sz w:val="20"/>
      <w:szCs w:val="20"/>
      <w:lang w:val="en-US" w:eastAsia="en-US" w:bidi="ar-SA"/>
    </w:rPr>
  </w:style>
  <w:style w:type="character" w:styleId="16">
    <w:name w:val="footnote reference"/>
    <w:semiHidden/>
    <w:unhideWhenUsed/>
    <w:qFormat/>
    <w:uiPriority w:val="99"/>
    <w:rPr>
      <w:vertAlign w:val="superscript"/>
    </w:rPr>
  </w:style>
  <w:style w:type="paragraph" w:styleId="17">
    <w:name w:val="footnote text"/>
    <w:link w:val="22"/>
    <w:semiHidden/>
    <w:unhideWhenUsed/>
    <w:qFormat/>
    <w:uiPriority w:val="99"/>
    <w:rPr>
      <w:rFonts w:ascii="Arial" w:hAnsi="Arial" w:eastAsia="Arial" w:cs="Arial"/>
      <w:color w:val="404040"/>
      <w:sz w:val="20"/>
      <w:szCs w:val="20"/>
      <w:lang w:val="en-US" w:eastAsia="en-US" w:bidi="ar-SA"/>
    </w:rPr>
  </w:style>
  <w:style w:type="character" w:styleId="18">
    <w:name w:val="Hyperlink"/>
    <w:unhideWhenUsed/>
    <w:qFormat/>
    <w:uiPriority w:val="99"/>
    <w:rPr>
      <w:color w:val="0563C1"/>
      <w:u w:val="single"/>
    </w:rPr>
  </w:style>
  <w:style w:type="paragraph" w:styleId="19">
    <w:name w:val="Title"/>
    <w:qFormat/>
    <w:uiPriority w:val="10"/>
    <w:rPr>
      <w:rFonts w:ascii="Arial" w:hAnsi="Arial" w:eastAsia="Arial" w:cs="Arial"/>
      <w:color w:val="404040"/>
      <w:sz w:val="56"/>
      <w:szCs w:val="56"/>
      <w:lang w:val="en-US" w:eastAsia="en-US" w:bidi="ar-SA"/>
    </w:rPr>
  </w:style>
  <w:style w:type="paragraph" w:customStyle="1" w:styleId="20">
    <w:name w:val="Strong1"/>
    <w:qFormat/>
    <w:uiPriority w:val="0"/>
    <w:rPr>
      <w:rFonts w:ascii="Arial" w:hAnsi="Arial" w:eastAsia="Arial" w:cs="Arial"/>
      <w:b/>
      <w:bCs/>
      <w:color w:val="404040"/>
      <w:sz w:val="22"/>
      <w:szCs w:val="22"/>
      <w:lang w:val="en-US" w:eastAsia="en-US" w:bidi="ar-SA"/>
    </w:rPr>
  </w:style>
  <w:style w:type="paragraph" w:styleId="21">
    <w:name w:val="List Paragraph"/>
    <w:qFormat/>
    <w:uiPriority w:val="0"/>
    <w:rPr>
      <w:rFonts w:ascii="Arial" w:hAnsi="Arial" w:eastAsia="Arial" w:cs="Arial"/>
      <w:color w:val="404040"/>
      <w:sz w:val="22"/>
      <w:szCs w:val="22"/>
      <w:lang w:val="en-US" w:eastAsia="en-US" w:bidi="ar-SA"/>
    </w:rPr>
  </w:style>
  <w:style w:type="character" w:customStyle="1" w:styleId="22">
    <w:name w:val="Footnote Text Char"/>
    <w:link w:val="17"/>
    <w:semiHidden/>
    <w:unhideWhenUsed/>
    <w:qFormat/>
    <w:uiPriority w:val="99"/>
    <w:rPr>
      <w:sz w:val="20"/>
      <w:szCs w:val="20"/>
    </w:rPr>
  </w:style>
  <w:style w:type="character" w:customStyle="1" w:styleId="23">
    <w:name w:val="Endnote Text Char"/>
    <w:link w:val="15"/>
    <w:semiHidden/>
    <w:unhideWhenUsed/>
    <w:qFormat/>
    <w:uiPriority w:val="99"/>
    <w:rPr>
      <w:sz w:val="20"/>
      <w:szCs w:val="20"/>
    </w:rPr>
  </w:style>
  <w:style w:type="character" w:customStyle="1" w:styleId="24">
    <w:name w:val="Comment Text Char"/>
    <w:basedOn w:val="8"/>
    <w:link w:val="12"/>
    <w:semiHidden/>
    <w:qFormat/>
    <w:uiPriority w:val="99"/>
    <w:rPr>
      <w:sz w:val="20"/>
      <w:szCs w:val="20"/>
    </w:rPr>
  </w:style>
  <w:style w:type="character" w:customStyle="1" w:styleId="25">
    <w:name w:val="Comment Subject Char"/>
    <w:basedOn w:val="24"/>
    <w:link w:val="13"/>
    <w:semiHidden/>
    <w:qFormat/>
    <w:uiPriority w:val="99"/>
    <w:rPr>
      <w:b/>
      <w:bCs/>
      <w:sz w:val="20"/>
      <w:szCs w:val="20"/>
    </w:rPr>
  </w:style>
  <w:style w:type="character" w:customStyle="1" w:styleId="26">
    <w:name w:val="Balloon Text Char"/>
    <w:basedOn w:val="8"/>
    <w:link w:val="10"/>
    <w:semiHidden/>
    <w:qFormat/>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8AB0F-A386-4332-A656-F7D63926E94D}">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1668</Words>
  <Characters>9514</Characters>
  <Lines>79</Lines>
  <Paragraphs>22</Paragraphs>
  <TotalTime>14</TotalTime>
  <ScaleCrop>false</ScaleCrop>
  <LinksUpToDate>false</LinksUpToDate>
  <CharactersWithSpaces>11160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2026-05-03T10:08:00Z</dcterms:created>
  <dc:creator>Un-named</dc:creator>
  <cp:lastModifiedBy>WPS_1763189093</cp:lastModifiedBy>
  <dcterms:modified xsi:type="dcterms:W3CDTF">2026-05-03T10:55:03Z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f3ee46d9-bf3d-4f95-ae6c-575b11af42aa</vt:lpwstr>
  </property>
  <property fmtid="{D5CDD505-2E9C-101B-9397-08002B2CF9AE}" pid="3" name="KSOProductBuildVer">
    <vt:lpwstr>2057-12.2.0.23202</vt:lpwstr>
  </property>
  <property fmtid="{D5CDD505-2E9C-101B-9397-08002B2CF9AE}" pid="4" name="ICV">
    <vt:lpwstr>A74F13EBC280478A99E485530DBAAD20_13</vt:lpwstr>
  </property>
</Properties>
</file>