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Seha One / Royal 2025 Table of Benefits - LLM Context</w:t>
      </w:r>
    </w:p>
    <w:p>
      <w:pPr>
        <w:pStyle w:val="Heading2"/>
      </w:pPr>
      <w:r>
        <w:t>Overall Annual Ceiling</w:t>
      </w:r>
    </w:p>
    <w:p>
      <w:r>
        <w:t>300,000 EGP</w:t>
      </w:r>
    </w:p>
    <w:p>
      <w:pPr>
        <w:pStyle w:val="Heading2"/>
      </w:pPr>
      <w:r>
        <w:t>Accessibility of the Card</w:t>
      </w:r>
    </w:p>
    <w:p>
      <w:r>
        <w:t>Direct Access</w:t>
      </w:r>
    </w:p>
    <w:p>
      <w:pPr>
        <w:pStyle w:val="Heading2"/>
      </w:pPr>
      <w:r>
        <w:t>Geographical Cover</w:t>
      </w:r>
    </w:p>
    <w:p>
      <w:r>
        <w:t>Covered Inside &amp; Outside network in Egypt</w:t>
      </w:r>
    </w:p>
    <w:p>
      <w:pPr>
        <w:pStyle w:val="Heading2"/>
      </w:pPr>
      <w:r>
        <w:t>In-Patient</w:t>
      </w:r>
    </w:p>
    <w:p>
      <w:r>
        <w:t>Limit: Up to overall annual ceiling</w:t>
      </w:r>
    </w:p>
    <w:p>
      <w:r>
        <w:t>Coverage: 100% Inside &amp; Outside Network</w:t>
      </w:r>
    </w:p>
    <w:p>
      <w:pPr>
        <w:pStyle w:val="Heading2"/>
      </w:pPr>
      <w:r>
        <w:t>Intensive Care</w:t>
      </w:r>
    </w:p>
    <w:p>
      <w:r>
        <w:t>Limit: Up to overall annual ceiling</w:t>
      </w:r>
    </w:p>
    <w:p>
      <w:r>
        <w:t>Coverage: 100% Inside &amp; Outside Network</w:t>
      </w:r>
    </w:p>
    <w:p>
      <w:pPr>
        <w:pStyle w:val="Heading2"/>
      </w:pPr>
      <w:r>
        <w:t>Ambulance in Case of Emergency</w:t>
      </w:r>
    </w:p>
    <w:p>
      <w:r>
        <w:t>Limit: Up to overall annual ceiling</w:t>
      </w:r>
    </w:p>
    <w:p>
      <w:r>
        <w:t>Coverage: 100% Inside &amp; 80% Outside Network</w:t>
      </w:r>
    </w:p>
    <w:p>
      <w:pPr>
        <w:pStyle w:val="Heading2"/>
      </w:pPr>
      <w:r>
        <w:t>Hospital Accommodation</w:t>
      </w:r>
    </w:p>
    <w:p>
      <w:r>
        <w:t>Single room</w:t>
      </w:r>
    </w:p>
    <w:p>
      <w:pPr>
        <w:pStyle w:val="Heading2"/>
      </w:pPr>
      <w:r>
        <w:t>Provider Network</w:t>
      </w:r>
    </w:p>
    <w:p>
      <w:r>
        <w:t>First Class Network - Tier S Seha one Network</w:t>
      </w:r>
    </w:p>
    <w:p>
      <w:pPr>
        <w:pStyle w:val="Heading2"/>
      </w:pPr>
      <w:r>
        <w:t>Out-Patient</w:t>
      </w:r>
    </w:p>
    <w:p>
      <w:r>
        <w:t>Limit: Up to overall annual ceiling</w:t>
      </w:r>
    </w:p>
    <w:p>
      <w:r>
        <w:t>Coverage: 100% Inside &amp; Outside Network</w:t>
      </w:r>
    </w:p>
    <w:p>
      <w:pPr>
        <w:pStyle w:val="Heading2"/>
      </w:pPr>
      <w:r>
        <w:t>Physiotherapy</w:t>
      </w:r>
    </w:p>
    <w:p>
      <w:r>
        <w:t>Limit: Up to overall annual ceiling</w:t>
      </w:r>
    </w:p>
    <w:p>
      <w:r>
        <w:t>Coverage: 100% Inside &amp; Outside Network</w:t>
      </w:r>
    </w:p>
    <w:p>
      <w:pPr>
        <w:pStyle w:val="Heading2"/>
      </w:pPr>
      <w:r>
        <w:t>Medicines</w:t>
      </w:r>
    </w:p>
    <w:p>
      <w:r>
        <w:t>Limit: Up to overall annual ceiling</w:t>
      </w:r>
    </w:p>
    <w:p>
      <w:r>
        <w:t>Coverage: 100% Inside &amp; Outside Network</w:t>
      </w:r>
    </w:p>
    <w:p>
      <w:pPr>
        <w:pStyle w:val="Heading2"/>
      </w:pPr>
      <w:r>
        <w:t>Pre-existing</w:t>
      </w:r>
    </w:p>
    <w:p>
      <w:r>
        <w:t>Covered</w:t>
      </w:r>
    </w:p>
    <w:p>
      <w:pPr>
        <w:pStyle w:val="Heading2"/>
      </w:pPr>
      <w:r>
        <w:t>Chronic</w:t>
      </w:r>
    </w:p>
    <w:p>
      <w:r>
        <w:t>Covered</w:t>
      </w:r>
    </w:p>
    <w:p>
      <w:pPr>
        <w:pStyle w:val="Heading2"/>
      </w:pPr>
      <w:r>
        <w:t>Pre-existing for New Addition</w:t>
      </w:r>
    </w:p>
    <w:p>
      <w:r>
        <w:t>Up to overall annual ceiling</w:t>
      </w:r>
    </w:p>
    <w:p>
      <w:pPr>
        <w:pStyle w:val="Heading2"/>
      </w:pPr>
      <w:r>
        <w:t>Hepatitis B &amp; C</w:t>
      </w:r>
    </w:p>
    <w:p>
      <w:r>
        <w:t>Covered</w:t>
      </w:r>
    </w:p>
    <w:p>
      <w:pPr>
        <w:pStyle w:val="Heading2"/>
      </w:pPr>
      <w:r>
        <w:t>Dental</w:t>
      </w:r>
    </w:p>
    <w:p>
      <w:r>
        <w:t>Limit: 10,000 EGP</w:t>
      </w:r>
    </w:p>
    <w:p>
      <w:r>
        <w:t>Coverage: 100% Inside &amp; Outside Network</w:t>
      </w:r>
    </w:p>
    <w:p>
      <w:pPr>
        <w:pStyle w:val="Heading2"/>
      </w:pPr>
      <w:r>
        <w:t>Dental Consultation &amp; Medication</w:t>
      </w:r>
    </w:p>
    <w:p>
      <w:r>
        <w:t>Covered from the annual ceiling</w:t>
      </w:r>
    </w:p>
    <w:p>
      <w:pPr>
        <w:pStyle w:val="Heading2"/>
      </w:pPr>
      <w:r>
        <w:t>Optical</w:t>
      </w:r>
    </w:p>
    <w:p>
      <w:r>
        <w:t>Limit: 8,000 EGP</w:t>
      </w:r>
    </w:p>
    <w:p>
      <w:r>
        <w:t>Coverage: 100% Inside &amp; Outside network</w:t>
      </w:r>
    </w:p>
    <w:p>
      <w:r>
        <w:t>Frequency: Once every 1 year</w:t>
      </w:r>
    </w:p>
    <w:p>
      <w:pPr>
        <w:pStyle w:val="Heading2"/>
      </w:pPr>
      <w:r>
        <w:t>Organ Transplantation</w:t>
      </w:r>
    </w:p>
    <w:p>
      <w:r>
        <w:t>Covered (Surgery cost only)</w:t>
      </w:r>
    </w:p>
    <w:p>
      <w:pPr>
        <w:pStyle w:val="Heading2"/>
      </w:pPr>
      <w:r>
        <w:t>Pregnancy</w:t>
      </w:r>
    </w:p>
    <w:p>
      <w:r>
        <w:t>Cesarean: 24,000 EGP</w:t>
      </w:r>
    </w:p>
    <w:p>
      <w:r>
        <w:t>Normal delivery: 20,000 EGP</w:t>
      </w:r>
    </w:p>
    <w:p>
      <w:r>
        <w:t>Legal abortion: 20,000 EGP</w:t>
      </w:r>
    </w:p>
    <w:p>
      <w:pPr>
        <w:pStyle w:val="Heading2"/>
      </w:pPr>
      <w:r>
        <w:t>Maternity Medication</w:t>
      </w:r>
    </w:p>
    <w:p>
      <w:r>
        <w:t>Covered 100% from annual ceiling</w:t>
      </w:r>
    </w:p>
    <w:p>
      <w:pPr>
        <w:pStyle w:val="Heading2"/>
      </w:pPr>
      <w:r>
        <w:t>Newborn</w:t>
      </w:r>
    </w:p>
    <w:p>
      <w:r>
        <w:t>Covered from day one</w:t>
      </w:r>
    </w:p>
    <w:p>
      <w:pPr>
        <w:pStyle w:val="Heading2"/>
      </w:pPr>
      <w:r>
        <w:t>Customer Service</w:t>
      </w:r>
    </w:p>
    <w:p>
      <w:r>
        <w:t>24/7 - 365 days/year</w:t>
      </w:r>
    </w:p>
    <w:p>
      <w:pPr>
        <w:pStyle w:val="Heading2"/>
      </w:pPr>
      <w:r>
        <w:t>Call Center for A15 Only</w:t>
      </w:r>
    </w:p>
    <w:p>
      <w:r>
        <w:t>Available</w:t>
      </w:r>
    </w:p>
    <w:p>
      <w:pPr>
        <w:pStyle w:val="Heading2"/>
      </w:pPr>
      <w:r>
        <w:t>Reimbursement Time Frame</w:t>
      </w:r>
    </w:p>
    <w:p>
      <w:r>
        <w:t>All submitted claims will be paid after 10 calendar days of receiving the full documents from the Clients</w:t>
      </w:r>
    </w:p>
    <w:p>
      <w:pPr>
        <w:pStyle w:val="Heading2"/>
      </w:pPr>
      <w:r>
        <w:t>Refund if the Treatment is Outside the Network</w:t>
      </w:r>
    </w:p>
    <w:p>
      <w:r>
        <w:t>100% according to Cleopatra contractual rates</w:t>
      </w:r>
    </w:p>
    <w:p>
      <w:pPr>
        <w:pStyle w:val="Heading2"/>
      </w:pPr>
      <w:r>
        <w:t>Doctor Visit</w:t>
      </w:r>
    </w:p>
    <w:p>
      <w:r>
        <w:t>2 visits per Month</w:t>
      </w:r>
    </w:p>
    <w:p>
      <w:pPr>
        <w:pStyle w:val="Heading2"/>
      </w:pPr>
      <w:r>
        <w:t>Chronic Medication</w:t>
      </w:r>
    </w:p>
    <w:p>
      <w:r>
        <w:t>Covered</w:t>
      </w:r>
    </w:p>
    <w:p>
      <w:pPr>
        <w:pStyle w:val="Heading2"/>
      </w:pPr>
      <w:r>
        <w:t>Account Manager</w:t>
      </w:r>
    </w:p>
    <w:p>
      <w:r>
        <w:t>One from Seha one &amp; One from Royal</w:t>
      </w:r>
    </w:p>
    <w:p>
      <w:pPr>
        <w:pStyle w:val="Heading2"/>
      </w:pPr>
      <w:r>
        <w:t>Consultation Reimbursement</w:t>
      </w:r>
    </w:p>
    <w:p>
      <w:r>
        <w:t>Up to 700 EGP</w:t>
      </w:r>
    </w:p>
    <w:p>
      <w:pPr>
        <w:pStyle w:val="Heading2"/>
      </w:pPr>
      <w:r>
        <w:t>Biological Treatment for Autoimmune Diseases</w:t>
      </w:r>
    </w:p>
    <w:p>
      <w:r>
        <w:t>Covered</w:t>
      </w:r>
    </w:p>
    <w:p>
      <w:pPr>
        <w:pStyle w:val="Heading2"/>
      </w:pPr>
      <w:r>
        <w:t>Outside Egypt</w:t>
      </w:r>
    </w:p>
    <w:p>
      <w:r>
        <w:t>Covered and according to Cleopatra Hospital’s contracted rates</w:t>
      </w:r>
    </w:p>
    <w:p>
      <w:pPr>
        <w:pStyle w:val="Heading2"/>
      </w:pPr>
      <w:r>
        <w:t>Vitamins</w:t>
      </w:r>
    </w:p>
    <w:p>
      <w:r>
        <w:t>Covered in case of any medical covered need except for multi-vitamins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