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center"/>
        <w:spacing w:before="0" w:after="5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Propuesta integrada AURA Care Entregable 1</w:t>
      </w:r>
    </w:p>
    <w:p>
      <w:pPr>
        <w:jc w:val="center"/>
        <w:spacing w:before="0" w:after="50" w:line="240" w:lineRule="auto"/>
      </w:pPr>
      <w:r>
        <w:rPr>
          <w:rFonts w:ascii="Times New Roman" w:hAnsi="Times New Roman" w:cs="Times New Roman"/>
          <w:i/>
          <w:iCs/>
          <w:sz w:val="20"/>
          <w:szCs w:val="20"/>
          <w:color w:val="000000"/>
        </w:rPr>
        <w:t>Agente inteligente para la prevencion temprana del deterioro del bienestar universitario</w:t>
      </w:r>
    </w:p>
    <w:p>
      <w:pPr>
        <w:jc w:val="center"/>
        <w:spacing w:before="0" w:after="80" w:line="240" w:lineRule="auto"/>
      </w:pPr>
      <w:r>
        <w:rPr>
          <w:rFonts w:ascii="Times New Roman" w:hAnsi="Times New Roman" w:cs="Times New Roman"/>
          <w:sz w:val="19"/>
          <w:szCs w:val="19"/>
          <w:color w:val="000000"/>
        </w:rPr>
        <w:t>Concurso Binacional de Innovacion Puentes del Futuro Jovenes para la Ciencia y la Innovacion Chile Peru 2026</w:t>
      </w:r>
    </w:p>
    <w:p>
      <w:pPr>
        <w:jc w:val="center"/>
        <w:spacing w:before="0" w:after="100" w:line="240" w:lineRule="auto"/>
      </w:pPr>
      <w:r>
        <w:rPr>
          <w:rFonts w:ascii="Times New Roman" w:hAnsi="Times New Roman" w:cs="Times New Roman"/>
          <w:sz w:val="19"/>
          <w:szCs w:val="19"/>
          <w:color w:val="000000"/>
        </w:rPr>
        <w:t>Grupo 9 | Bryan Silva | Maria Camila Mercado | 24 de septiembre de 2026</w:t>
      </w:r>
    </w:p>
    <w:p>
      <w:pPr>
        <w:pStyle w:val="Heading1"/>
        <w:spacing w:before="80" w:after="6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Resumen ejecutivo</w:t>
      </w:r>
    </w:p>
    <w:p>
      <w:pPr>
        <w:spacing w:before="0" w:after="7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AURA Care propone un producto minimo viable basado en inteligencia artificial generativa y agentica para Ciudad AETHERA. La solucion analiza el Data Pack Oleada 1, identifica necesidades preventivas no clinicas y conecta a estudiantes con recursos institucionales de apoyo. El documento integra la propuesta inicial con los requisitos del Entregable 1: misiones elegidas, evidencia del Data Pack, concepto de solucion y primer analisis de riesgos eticos.</w:t>
      </w:r>
    </w:p>
    <w:p>
      <w:pPr>
        <w:spacing w:before="0" w:after="8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La promesa central es reducir la friccion del primer contacto: que un estudiante que no sabe donde pedir ayuda pueda recibir orientacion clara, trazable y segura, mientras las unidades de bienestar observan patrones agregados para tomar decisiones preventivas.</w:t>
      </w:r>
    </w:p>
    <w:p>
      <w:pPr>
        <w:pStyle w:val="Heading1"/>
        <w:spacing w:before="80" w:after="6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Caso elegido</w:t>
      </w:r>
    </w:p>
    <w:p>
      <w:pPr>
        <w:spacing w:before="0" w:after="60" w:line="240" w:lineRule="auto"/>
      </w:pPr>
      <w:r>
        <w:rPr>
          <w:rFonts w:ascii="Times New Roman" w:hAnsi="Times New Roman" w:cs="Times New Roman"/>
          <w:b/>
          <w:bCs/>
          <w:sz w:val="22"/>
          <w:szCs w:val="22"/>
          <w:color w:val="000000"/>
        </w:rPr>
        <w:t xml:space="preserve">Caso elegido: </w:t>
      </w:r>
      <w:r>
        <w:rPr>
          <w:rFonts w:ascii="Times New Roman" w:hAnsi="Times New Roman" w:cs="Times New Roman"/>
          <w:sz w:val="22"/>
          <w:szCs w:val="22"/>
          <w:color w:val="000000"/>
        </w:rPr>
        <w:t>AURA Care y la prevencion temprana del deterioro del bienestar universitario mediante inteligencia artificial generativa.</w:t>
      </w:r>
    </w:p>
    <w:p>
      <w:pPr>
        <w:spacing w:before="0" w:after="8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AURA Care se dedica a orientar de forma preventiva a estudiantes universitarios en contextos de estres, ansiedad, agotamiento, aislamiento social y baja busqueda de ayuda. No diagnostica enfermedades mentales, no prescribe tratamientos y no simula ser terapeuta. Funciona como un puente entre la necesidad del estudiante y los servicios humanos disponibles.</w:t>
      </w:r>
    </w:p>
    <w:p>
      <w:pPr>
        <w:pStyle w:val="Heading1"/>
        <w:spacing w:before="80" w:after="6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Misiones elegidas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00"/>
        <w:gridCol w:w="2300"/>
        <w:gridCol w:w="2700"/>
        <w:gridCol w:w="3600"/>
      </w:tblGrid>
      <w:tr>
        <w:trPr>
          <w:tblHeader/>
          <w:cantSplit/>
        </w:trPr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000000"/>
              </w:rPr>
              <w:t>Mision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000000"/>
              </w:rPr>
              <w:t>Problema abordado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000000"/>
              </w:rPr>
              <w:t>Evidencia base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000000"/>
              </w:rPr>
              <w:t>Respuesta de AURA Care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M1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Estres y ansiedad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41% con sintomatologia ansiosa moderada alta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Reconocer senales preventivas y explicar recursos de apoyo sin clasificacion clinica.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M5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Estigma y baja busqueda de ayuda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68% con sintomatologia no consulto apoyo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Ofrecer un primer contacto discreto, transparente y de baja friccion.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M6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Barreras de acceso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44% desconoce servicios; espera media 6.0 semanas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Recomendar rutas disponibles desde D6 y alternativas mientras se accede a consejeria.</w:t>
            </w:r>
          </w:p>
        </w:tc>
      </w:tr>
    </w:tbl>
    <w:p>
      <w:pPr>
        <w:spacing w:before="0" w:after="5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/>
      </w:r>
    </w:p>
    <w:p>
      <w:pPr>
        <w:pStyle w:val="Heading1"/>
        <w:spacing w:before="80" w:after="6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Evidencia del Data Pack</w:t>
      </w:r>
    </w:p>
    <w:p>
      <w:pPr>
        <w:spacing w:before="0" w:after="6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La decision de concentrar el PMV en M1, M5 y M6 se sustenta en indicadores reconstruidos desde los archivos oficiales D1 Encuesta de bienestar, D2 Uso de servicios, D3 Trayectoria academica, D6 Mapa de servicios y D7 Calendario universitario.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700"/>
        <w:gridCol w:w="2600"/>
        <w:gridCol w:w="4500"/>
      </w:tblGrid>
      <w:tr>
        <w:trPr>
          <w:tblHeader/>
          <w:cantSplit/>
        </w:trPr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000000"/>
              </w:rPr>
              <w:t>Dato reconstruido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000000"/>
              </w:rPr>
              <w:t>Resultado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000000"/>
              </w:rPr>
              <w:t>Lectura para el problema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Sintomatologia ansiosa moderada alta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4,920 de 12,000 respuestas D1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El deterioro de bienestar tiene escala suficiente para justificar intervencion preventiva temprana.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Brecha de ayuda entre estudiantes con sintomatologia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D1 previous_support_use=never + ausencia de evento D2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La necesidad declarada no se transforma automaticamente en busqueda efectiva de apoyo.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Desconocimiento y espera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44%; 42.0 dias promedio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El problema combina desinformacion, estigma y friccion operativa.</w:t>
            </w:r>
          </w:p>
        </w:tc>
      </w:tr>
    </w:tbl>
    <w:p>
      <w:pPr>
        <w:spacing w:before="0" w:after="5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/>
      </w:r>
    </w:p>
    <w:p>
      <w:pPr>
        <w:spacing w:before="0" w:after="20" w:line="240" w:lineRule="auto"/>
      </w:pPr>
      <w:r>
        <w:rPr>
          <w:rFonts w:ascii="Times New Roman" w:hAnsi="Times New Roman" w:cs="Times New Roman"/>
          <w:i/>
          <w:iCs/>
          <w:sz w:val="19"/>
          <w:szCs w:val="19"/>
          <w:color w:val="000000"/>
        </w:rPr>
        <w:t>Figura 1 Indicadores reconstruidos desde D1 y D2 frente a la linea base del concurso.</w:t>
      </w:r>
    </w:p>
    <w:p>
      <w:pPr>
        <w:jc w:val="center"/>
        <w:spacing w:before="20" w:after="50"/>
      </w:pPr>
      <w:r>
        <w:drawing>
          <wp:inline distT="0" distB="0" distL="0" distR="0">
            <wp:extent cx="5943600" cy="2057400"/>
            <wp:effectExtent l="0" t="0" r="0" b="0"/>
            <wp:docPr id="1" name="Entregable_1_indicadore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egable_1_indicadores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70" w:line="240" w:lineRule="auto"/>
      </w:pPr>
      <w:r>
        <w:rPr>
          <w:rFonts w:ascii="Times New Roman" w:hAnsi="Times New Roman" w:cs="Times New Roman"/>
          <w:b/>
          <w:bCs/>
          <w:sz w:val="22"/>
          <w:szCs w:val="22"/>
          <w:color w:val="000000"/>
        </w:rPr>
        <w:t xml:space="preserve">Hallazgos complementarios. </w:t>
      </w:r>
      <w:r>
        <w:rPr>
          <w:rFonts w:ascii="Times New Roman" w:hAnsi="Times New Roman" w:cs="Times New Roman"/>
          <w:sz w:val="22"/>
          <w:szCs w:val="22"/>
          <w:color w:val="000000"/>
        </w:rPr>
        <w:t>D1 indica 73.9% con estres moderado alto; quienes reportan ansiedad alta duermen 6.5 horas promedio frente a 7.6 en ansiedad baja. Al cruzar D1 con D3, los perfiles con sobrecarga tienen asistencia promedio de 83.4% frente a 88.3% sin sobrecarga, y alertas academicas media alta de 36.1% frente a 14.4%.</w:t>
      </w:r>
    </w:p>
    <w:p>
      <w:pPr>
        <w:pStyle w:val="Title"/>
        <w:jc w:val="center"/>
        <w:spacing w:before="0" w:after="8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Diseno de solucion y PMV</w:t>
      </w:r>
    </w:p>
    <w:p>
      <w:pPr>
        <w:pStyle w:val="Heading1"/>
        <w:spacing w:before="80" w:after="6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Preguntas de bienestar universitario</w:t>
      </w:r>
    </w:p>
    <w:p>
      <w:pPr>
        <w:spacing w:before="0" w:after="3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1. Que factores academicos y sociales estan asociados con mayores senales de estres estudiantil?</w:t>
      </w:r>
    </w:p>
    <w:p>
      <w:pPr>
        <w:spacing w:before="0" w:after="3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2. Que perfiles presentan mas barreras para acceder a servicios de apoyo?</w:t>
      </w:r>
    </w:p>
    <w:p>
      <w:pPr>
        <w:spacing w:before="0" w:after="3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3. Que senales tempranas permiten orientar a estudiantes antes de una crisis?</w:t>
      </w:r>
    </w:p>
    <w:p>
      <w:pPr>
        <w:spacing w:before="0" w:after="3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4. Que recursos institucionales deben recomendarse segun necesidad, horario y canal?</w:t>
      </w:r>
    </w:p>
    <w:p>
      <w:pPr>
        <w:spacing w:before="0" w:after="7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5. Como puede una IA generativa facilitar el primer contacto sin reemplazar la atencion profesional?</w:t>
      </w:r>
    </w:p>
    <w:p>
      <w:pPr>
        <w:pStyle w:val="Heading1"/>
        <w:spacing w:before="80" w:after="6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Concepto de solucion</w:t>
      </w:r>
    </w:p>
    <w:p>
      <w:pPr>
        <w:spacing w:before="0" w:after="7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AURA Care combina analitica de datos, recuperacion aumentada por generacion y reglas de seguridad. Usa D1, D2, D3 y D7 para detectar necesidades preventivas y D6 para recomendar servicios concretos por canal, horario, tipo de apoyo y pertinencia. El estudiante recibe una respuesta clara con limites declarados; bienestar recibe indicadores agregados, no diagnosticos individuales.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100"/>
        <w:gridCol w:w="3900"/>
        <w:gridCol w:w="3800"/>
      </w:tblGrid>
      <w:tr>
        <w:trPr>
          <w:tblHeader/>
          <w:cantSplit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000000"/>
              </w:rPr>
              <w:t>Componente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000000"/>
              </w:rPr>
              <w:t>Funcion en el PMV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000000"/>
              </w:rPr>
              <w:t>Valor para el concurso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Analitica preventiva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Reconstruye indicadores, segmentos y score preventivo no clinico.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Demuestra uso real del Data Pack desde la primera fase.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RAG institucional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Recupera servicios, horarios, canales y criterios desde D6.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Reduce respuestas inventadas y permite trazabilidad.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Agente IA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Conversa, pregunta lo minimo necesario y explica rutas de apoyo.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Muestra una experiencia funcional de bajo costo.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Reglas de seguridad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Bloquea diagnostico, terapia simulada y decisiones clinicas automatizadas.</w:t>
            </w:r>
          </w:p>
        </w:tc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Alinea la solucion con IA responsable.</w:t>
            </w:r>
          </w:p>
        </w:tc>
      </w:tr>
    </w:tbl>
    <w:p>
      <w:pPr>
        <w:spacing w:before="0" w:after="5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/>
      </w:r>
    </w:p>
    <w:p>
      <w:pPr>
        <w:pStyle w:val="Heading1"/>
        <w:spacing w:before="80" w:after="6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Quien decide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900"/>
        <w:gridCol w:w="5000"/>
        <w:gridCol w:w="1900"/>
      </w:tblGrid>
      <w:tr>
        <w:trPr>
          <w:tblHeader/>
          <w:cantSplit/>
        </w:trPr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000000"/>
              </w:rPr>
              <w:t>Usuario responsable</w:t>
            </w:r>
          </w:p>
        </w:tc>
        <w:tc>
          <w:tcPr>
            <w:tcW w:w="5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000000"/>
              </w:rPr>
              <w:t>Decision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000000"/>
              </w:rPr>
              <w:t>Frecuencia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Unidad de bienestar universitario</w:t>
            </w:r>
          </w:p>
        </w:tc>
        <w:tc>
          <w:tcPr>
            <w:tcW w:w="5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Identificar brechas generales de necesidad y acceso.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Mensual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Orientadores o profesionales de apoyo</w:t>
            </w:r>
          </w:p>
        </w:tc>
        <w:tc>
          <w:tcPr>
            <w:tcW w:w="5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Validar rutas preventivas y derivaciones humanas.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Semanal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Administradores universitarios</w:t>
            </w:r>
          </w:p>
        </w:tc>
        <w:tc>
          <w:tcPr>
            <w:tcW w:w="5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Ajustar campanas, cupos y estrategias preventivas.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Trimestral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Estudiantes</w:t>
            </w:r>
          </w:p>
        </w:tc>
        <w:tc>
          <w:tcPr>
            <w:tcW w:w="5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Consultar recursos y decidir si solicita apoyo institucional.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Segun necesidad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Equipo tecnico</w:t>
            </w:r>
          </w:p>
        </w:tc>
        <w:tc>
          <w:tcPr>
            <w:tcW w:w="5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Auditar calidad, sesgos, trazabilidad y limites del agente.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Quincenal en piloto</w:t>
            </w:r>
          </w:p>
        </w:tc>
      </w:tr>
    </w:tbl>
    <w:p>
      <w:pPr>
        <w:spacing w:before="0" w:after="5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/>
      </w:r>
    </w:p>
    <w:p>
      <w:pPr>
        <w:pStyle w:val="Heading1"/>
        <w:spacing w:before="80" w:after="6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Flujo funcional demostrable</w:t>
      </w:r>
    </w:p>
    <w:p>
      <w:pPr>
        <w:spacing w:before="0" w:after="8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1. Cargar Data Pack Oleada 1. 2. Reconstruir indicadores M1, M5 y M6. 3. Calcular un score preventivo no clinico. 4. Recuperar servicios desde D6 con RAG. 5. Generar una respuesta segura con limites explicitos. 6. Derivar a ayuda humana ante crisis o necesidad especializada.</w:t>
      </w:r>
    </w:p>
    <w:p>
      <w:pPr>
        <w:pStyle w:val="Heading1"/>
        <w:spacing w:before="80" w:after="6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Alcance del demo</w:t>
      </w:r>
    </w:p>
    <w:p>
      <w:pPr>
        <w:spacing w:before="0" w:after="7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El demo en notebook ya puede mostrar carga de datos, metricas, segmentacion, recomendacion de recursos y una conversacion simulada con IA. Para el Entregable 2 se debe grabar el flujo completo con tres casos: sobrecarga en evaluaciones, desconocimiento de servicios y mensaje de crisis. En los tres se debe ver la fuente recuperada y el limite responsable del agente.</w:t>
      </w:r>
    </w:p>
    <w:p>
      <w:pPr>
        <w:pStyle w:val="Title"/>
        <w:jc w:val="center"/>
        <w:spacing w:before="0" w:after="8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IA responsable impacto y escalabilidad</w:t>
      </w:r>
    </w:p>
    <w:p>
      <w:pPr>
        <w:pStyle w:val="Heading1"/>
        <w:spacing w:before="80" w:after="6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Primer analisis de riesgos eticos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00"/>
        <w:gridCol w:w="3500"/>
        <w:gridCol w:w="4400"/>
      </w:tblGrid>
      <w:tr>
        <w:trPr>
          <w:tblHeader/>
          <w:cantSplit/>
        </w:trPr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000000"/>
              </w:rPr>
              <w:t>Riesgo</w:t>
            </w:r>
          </w:p>
        </w:tc>
        <w:tc>
          <w:tcPr>
            <w:tcW w:w="3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000000"/>
              </w:rPr>
              <w:t>Como podria ocurrir</w:t>
            </w:r>
          </w:p>
        </w:tc>
        <w:tc>
          <w:tcPr>
            <w:tcW w:w="4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000000"/>
              </w:rPr>
              <w:t>Mitigacion propuesta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Diagnostico automatizado</w:t>
            </w:r>
          </w:p>
        </w:tc>
        <w:tc>
          <w:tcPr>
            <w:tcW w:w="3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El usuario interpreta una recomendacion como evaluacion clinica.</w:t>
            </w:r>
          </w:p>
        </w:tc>
        <w:tc>
          <w:tcPr>
            <w:tcW w:w="4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Lenguaje preventivo: senales, necesidades y recursos. Prohibicion explicita de diagnosticar o prescribir.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Privacidad</w:t>
            </w:r>
          </w:p>
        </w:tc>
        <w:tc>
          <w:tcPr>
            <w:tcW w:w="3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Uso de informacion personal real o sensible fuera del alcance.</w:t>
            </w:r>
          </w:p>
        </w:tc>
        <w:tc>
          <w:tcPr>
            <w:tcW w:w="4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Solo Data Pack sintetico en el concurso; no se piden historiales clinicos ni datos reales.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Sesgo</w:t>
            </w:r>
          </w:p>
        </w:tc>
        <w:tc>
          <w:tcPr>
            <w:tcW w:w="3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Recomendaciones desiguales por pais, etapa academica, genero, migracion o red de apoyo.</w:t>
            </w:r>
          </w:p>
        </w:tc>
        <w:tc>
          <w:tcPr>
            <w:tcW w:w="4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Auditoria por segmentos y validacion humana de bienestar antes de piloto.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Alucinacion</w:t>
            </w:r>
          </w:p>
        </w:tc>
        <w:tc>
          <w:tcPr>
            <w:tcW w:w="3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La IA inventa servicios, horarios o criterios de acceso.</w:t>
            </w:r>
          </w:p>
        </w:tc>
        <w:tc>
          <w:tcPr>
            <w:tcW w:w="4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RAG acotado a D6 y documentos institucionales; cada salida muestra recurso, canal y razon.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Crisis</w:t>
            </w:r>
          </w:p>
        </w:tc>
        <w:tc>
          <w:tcPr>
            <w:tcW w:w="3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La IA intenta resolver una situacion de riesgo por conversacion.</w:t>
            </w:r>
          </w:p>
        </w:tc>
        <w:tc>
          <w:tcPr>
            <w:tcW w:w="4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Derivacion inmediata a apoyo humano y canales definidos; suspension de recomendacion automatica.</w:t>
            </w:r>
          </w:p>
        </w:tc>
      </w:tr>
    </w:tbl>
    <w:p>
      <w:pPr>
        <w:spacing w:before="0" w:after="5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/>
      </w:r>
    </w:p>
    <w:p>
      <w:pPr>
        <w:pStyle w:val="Heading1"/>
        <w:spacing w:before="80" w:after="6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Impacto esperado</w:t>
      </w:r>
    </w:p>
    <w:p>
      <w:pPr>
        <w:spacing w:before="0" w:after="7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AURA Care no promete resultados clinicos. Sus metricas de exito son de orientacion, acceso y seguridad: mayor exposicion a servicios disponibles, mayor claridad del primer contacto, recomendaciones trazables desde D6, reduccion de respuestas inseguras y mejor lectura agregada de semanas o segmentos con mayor necesidad preventiva.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00"/>
        <w:gridCol w:w="3900"/>
        <w:gridCol w:w="3300"/>
      </w:tblGrid>
      <w:tr>
        <w:trPr>
          <w:tblHeader/>
          <w:cantSplit/>
        </w:trP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000000"/>
              </w:rPr>
              <w:t>Indicador de concurso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000000"/>
              </w:rPr>
              <w:t>Como lo aborda el PMV</w:t>
            </w:r>
          </w:p>
        </w:tc>
        <w:tc>
          <w:tcPr>
            <w:tcW w:w="3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000000"/>
              </w:rPr>
              <w:t>Evidencia de demostracion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41% ansiedad moderada alta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Orientacion temprana sin diagnostico.</w:t>
            </w:r>
          </w:p>
        </w:tc>
        <w:tc>
          <w:tcPr>
            <w:tcW w:w="3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Score preventivo y rutas de apoyo.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68% no consulta apoyo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Primer contacto discreto y de baja friccion.</w:t>
            </w:r>
          </w:p>
        </w:tc>
        <w:tc>
          <w:tcPr>
            <w:tcW w:w="3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Conversacion simulada con recomendacion trazable.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44% desconoce servicios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Mapa de recursos con RAG.</w:t>
            </w:r>
          </w:p>
        </w:tc>
        <w:tc>
          <w:tcPr>
            <w:tcW w:w="3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Servicio recuperado desde D6.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6 semanas de espera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Alternativas complementarias mientras espera atencion.</w:t>
            </w:r>
          </w:p>
        </w:tc>
        <w:tc>
          <w:tcPr>
            <w:tcW w:w="3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 w:line="220" w:lineRule="auto"/>
            </w:pPr>
            <w:r>
              <w:rPr>
                <w:rFonts w:ascii="Times New Roman" w:hAnsi="Times New Roman" w:cs="Times New Roman"/>
                <w:sz w:val="20"/>
                <w:szCs w:val="20"/>
                <w:color w:val="000000"/>
              </w:rPr>
              <w:t>Recursos escalonados y derivacion humana.</w:t>
            </w:r>
          </w:p>
        </w:tc>
      </w:tr>
    </w:tbl>
    <w:p>
      <w:pPr>
        <w:spacing w:before="0" w:after="5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/>
      </w:r>
    </w:p>
    <w:p>
      <w:pPr>
        <w:pStyle w:val="Heading1"/>
        <w:spacing w:before="80" w:after="6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Escalabilidad</w:t>
      </w:r>
    </w:p>
    <w:p>
      <w:pPr>
        <w:spacing w:before="0" w:after="7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La arquitectura puede replicarse en universidades de Chile, Peru y otras instituciones latinoamericanas porque separa datos, documentos, agente y reglas de seguridad. Para escalar se cambia el mapa local de servicios, el calendario academico, los protocolos de derivacion y el lenguaje institucional, sin entrenar un modelo desde cero.</w:t>
      </w:r>
    </w:p>
    <w:p>
      <w:pPr>
        <w:pStyle w:val="Heading1"/>
        <w:spacing w:before="80" w:after="6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Cierre para evaluacion</w:t>
      </w:r>
    </w:p>
    <w:p>
      <w:pPr>
        <w:spacing w:before="0" w:after="60" w:line="240" w:lineRule="auto"/>
      </w:pPr>
      <w:r>
        <w:rPr>
          <w:rFonts w:ascii="Times New Roman" w:hAnsi="Times New Roman" w:cs="Times New Roman"/>
          <w:sz w:val="22"/>
          <w:szCs w:val="22"/>
          <w:color w:val="000000"/>
        </w:rPr>
        <w:t>AURA Care convierte el reto AETHERA en una propuesta demostrable: usa datos reales del concurso, enfoca misiones prioritarias, muestra un PMV funcional en Python y mantiene limites eticos claros. Su aporte competitivo no es reemplazar a bienestar, sino hacer que el primer paso hacia bienestar sea mas rapido, claro, seguro y medible.</w:t>
      </w:r>
    </w:p>
    <w:sectPr>
      <w:pgSz w:w="11906" w:h="16838"/>
      <w:pgMar w:top="850" w:right="850" w:bottom="850" w:left="85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szCs w:val="22"/>
        <w:color w:val="000000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  <w:qFormat/>
    <w:pPr>
      <w:spacing w:after="80" w:line="240" w:lineRule="auto"/>
    </w:pPr>
    <w:rPr>
      <w:rFonts w:ascii="Times New Roman" w:hAnsi="Times New Roman" w:cs="Times New Roman"/>
      <w:sz w:val="22"/>
      <w:szCs w:val="22"/>
      <w:color w:val="000000"/>
    </w:rPr>
  </w:style>
  <w:style w:type="paragraph" w:styleId="Title">
    <w:name w:val="Title"/>
    <w:qFormat/>
    <w:pPr>
      <w:spacing w:after="70"/>
      <w:jc w:val="center"/>
    </w:pPr>
    <w:rPr>
      <w:rFonts w:ascii="Times New Roman" w:hAnsi="Times New Roman" w:cs="Times New Roman"/>
      <w:b/>
      <w:bCs/>
      <w:sz w:val="30"/>
      <w:szCs w:val="30"/>
      <w:color w:val="000000"/>
    </w:rPr>
  </w:style>
  <w:style w:type="paragraph" w:styleId="Heading1">
    <w:name w:val="heading 1"/>
    <w:basedOn w:val="Normal"/>
    <w:next w:val="Normal"/>
    <w:qFormat/>
    <w:pPr>
      <w:keepNext/>
      <w:spacing w:before="80" w:after="50"/>
    </w:pPr>
    <w:rPr>
      <w:rFonts w:ascii="Times New Roman" w:hAnsi="Times New Roman" w:cs="Times New Roman"/>
      <w:b/>
      <w:bCs/>
      <w:sz w:val="24"/>
      <w:szCs w:val="24"/>
      <w:color w:val="0000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Entregable_1_indicadores.png"/>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Propuesta integrada AURA Care Entregable 1</dc:title>
  <dc:creator>Equipo AURA Care</dc:creator>
  <cp:lastModifiedBy>Codex</cp:lastModifiedBy>
  <dcterms:created xsi:type="dcterms:W3CDTF">2026-09-24T00:00:00Z</dcterms:created>
  <dcterms:modified xsi:type="dcterms:W3CDTF">2026-09-24T00:00:00Z</dcterms:modified>
</cp:coreProperties>
</file>