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12C7" w14:textId="77777777" w:rsidR="004248B4" w:rsidRPr="006A795D" w:rsidRDefault="006A795D" w:rsidP="006A795D">
      <w:pPr>
        <w:pStyle w:val="ListParagraph"/>
        <w:numPr>
          <w:ilvl w:val="0"/>
          <w:numId w:val="1"/>
        </w:numPr>
        <w:rPr>
          <w:b/>
        </w:rPr>
      </w:pPr>
      <w:r w:rsidRPr="006A795D">
        <w:rPr>
          <w:b/>
        </w:rPr>
        <w:t>What are three conclusions we can make about Kickstarter campaigns given the provided data?</w:t>
      </w:r>
    </w:p>
    <w:p w14:paraId="13A1480B" w14:textId="2A9CD222" w:rsidR="006A795D" w:rsidRDefault="006A795D" w:rsidP="006A795D">
      <w:pPr>
        <w:ind w:left="720"/>
      </w:pPr>
      <w:r>
        <w:t xml:space="preserve">One of the conclusions we can make based on the data provided is that projects belonging to the theater category had </w:t>
      </w:r>
      <w:r w:rsidR="00663D8A">
        <w:t>the greatest</w:t>
      </w:r>
      <w:r>
        <w:t xml:space="preserve"> number of successful projects, followed by the category music and </w:t>
      </w:r>
      <w:r w:rsidR="007A1684">
        <w:t xml:space="preserve">then </w:t>
      </w:r>
      <w:r>
        <w:t>film and video.</w:t>
      </w:r>
      <w:r w:rsidR="007A1684">
        <w:t xml:space="preserve"> However, it is important to note that the total number of projects varied between eac</w:t>
      </w:r>
      <w:r w:rsidR="007D2595">
        <w:t>h category. Theater was the most popular category and had the most successful projects, but it also had the greatest number of total projects.</w:t>
      </w:r>
    </w:p>
    <w:p w14:paraId="7553D198" w14:textId="2B9C9E65" w:rsidR="007A1684" w:rsidRDefault="007A1684" w:rsidP="006A795D">
      <w:pPr>
        <w:ind w:left="720"/>
      </w:pPr>
    </w:p>
    <w:p w14:paraId="32754B01" w14:textId="58CB35AF" w:rsidR="007A1684" w:rsidRDefault="007A1684" w:rsidP="006A795D">
      <w:pPr>
        <w:ind w:left="720"/>
      </w:pPr>
    </w:p>
    <w:p w14:paraId="06D76FFE" w14:textId="356781D1" w:rsidR="007A1684" w:rsidRDefault="007A1684" w:rsidP="006A795D">
      <w:pPr>
        <w:ind w:left="720"/>
      </w:pPr>
      <w:r>
        <w:rPr>
          <w:noProof/>
        </w:rPr>
        <w:drawing>
          <wp:inline distT="0" distB="0" distL="0" distR="0" wp14:anchorId="5EEC1115" wp14:editId="7A023719">
            <wp:extent cx="5525135" cy="3054485"/>
            <wp:effectExtent l="0" t="0" r="1206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B88F46-C4D7-E147-AAD4-6A5BD7397A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864DDD" w14:textId="7B65FC49" w:rsidR="007A1684" w:rsidRDefault="007A1684" w:rsidP="006A795D">
      <w:pPr>
        <w:ind w:left="720"/>
      </w:pPr>
    </w:p>
    <w:p w14:paraId="128C7708" w14:textId="31BF20C9" w:rsidR="007A1684" w:rsidRDefault="007A1684" w:rsidP="006A795D">
      <w:pPr>
        <w:ind w:left="720"/>
      </w:pPr>
    </w:p>
    <w:p w14:paraId="0C597F50" w14:textId="6075CDB1" w:rsidR="007A1684" w:rsidRDefault="007A1684" w:rsidP="006A795D">
      <w:pPr>
        <w:ind w:left="720"/>
      </w:pPr>
    </w:p>
    <w:p w14:paraId="2260F0E5" w14:textId="7C0642C0" w:rsidR="007A1684" w:rsidRDefault="007A1684" w:rsidP="006A795D">
      <w:pPr>
        <w:ind w:left="720"/>
      </w:pPr>
    </w:p>
    <w:p w14:paraId="2D55891E" w14:textId="62C5A6D0" w:rsidR="00C45888" w:rsidRDefault="00C45888" w:rsidP="007D2595">
      <w:pPr>
        <w:ind w:left="720"/>
      </w:pPr>
      <w:r>
        <w:t>Within the theater category, plays were the most popular and had</w:t>
      </w:r>
      <w:r w:rsidR="00663D8A">
        <w:t xml:space="preserve"> the highest success rate in th</w:t>
      </w:r>
      <w:r>
        <w:t>e</w:t>
      </w:r>
      <w:r w:rsidR="00663D8A">
        <w:t>ate</w:t>
      </w:r>
      <w:r>
        <w:t>r.</w:t>
      </w:r>
      <w:r w:rsidR="007A1684">
        <w:t xml:space="preserve"> </w:t>
      </w:r>
      <w:r w:rsidR="007D2595">
        <w:t xml:space="preserve">Similar to the limitation mentioned above with theater being the most popular category and plays being the most popular subcategory, the total number of projects </w:t>
      </w:r>
      <w:proofErr w:type="gramStart"/>
      <w:r w:rsidR="007D2595">
        <w:t>varied</w:t>
      </w:r>
      <w:proofErr w:type="gramEnd"/>
      <w:r w:rsidR="007D2595">
        <w:t xml:space="preserve"> and the success rate compared to other categories is difficult to measure accurate solely based on these measures. </w:t>
      </w:r>
    </w:p>
    <w:p w14:paraId="69D880B9" w14:textId="31CF2BC6" w:rsidR="007D2595" w:rsidRDefault="007D2595" w:rsidP="007D2595">
      <w:pPr>
        <w:ind w:left="720"/>
      </w:pPr>
    </w:p>
    <w:p w14:paraId="73CF1A5A" w14:textId="36DE597B" w:rsidR="007D2595" w:rsidRDefault="007D2595" w:rsidP="007D2595">
      <w:pPr>
        <w:ind w:left="720"/>
      </w:pPr>
      <w:r>
        <w:rPr>
          <w:noProof/>
        </w:rPr>
        <w:lastRenderedPageBreak/>
        <w:drawing>
          <wp:inline distT="0" distB="0" distL="0" distR="0" wp14:anchorId="0B1BA7DE" wp14:editId="6F431F99">
            <wp:extent cx="5943600" cy="2538919"/>
            <wp:effectExtent l="0" t="0" r="1270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98ED08-780A-4042-8B98-197FF3F62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7A0370" w14:textId="77777777" w:rsidR="00C45888" w:rsidRDefault="00C45888" w:rsidP="006A795D">
      <w:pPr>
        <w:ind w:left="720"/>
      </w:pPr>
      <w:r>
        <w:t>Another conclusion we can make is that projects with a goal of less than $1000, had the highest percentage of success at 71%.</w:t>
      </w:r>
    </w:p>
    <w:p w14:paraId="74E2BAB9" w14:textId="77777777" w:rsidR="006A795D" w:rsidRDefault="006A795D" w:rsidP="006A795D">
      <w:pPr>
        <w:ind w:left="720"/>
      </w:pPr>
    </w:p>
    <w:p w14:paraId="39223FA5" w14:textId="77777777" w:rsidR="006A795D" w:rsidRDefault="006A795D" w:rsidP="006A795D">
      <w:pPr>
        <w:ind w:left="720"/>
      </w:pPr>
    </w:p>
    <w:p w14:paraId="71F08145" w14:textId="77777777" w:rsidR="006A795D" w:rsidRPr="006A795D" w:rsidRDefault="006A795D" w:rsidP="006A795D">
      <w:pPr>
        <w:pStyle w:val="ListParagraph"/>
        <w:numPr>
          <w:ilvl w:val="0"/>
          <w:numId w:val="1"/>
        </w:numPr>
        <w:rPr>
          <w:b/>
        </w:rPr>
      </w:pPr>
      <w:r w:rsidRPr="006A795D">
        <w:rPr>
          <w:b/>
        </w:rPr>
        <w:t>What are some of the limitations of this dataset?</w:t>
      </w:r>
    </w:p>
    <w:p w14:paraId="329C1639" w14:textId="77777777" w:rsidR="006A795D" w:rsidRDefault="00B64693" w:rsidP="00C45888">
      <w:pPr>
        <w:ind w:left="720"/>
      </w:pPr>
      <w:r>
        <w:t xml:space="preserve">One of the limitations of the dataset is that the currency is not standardized across </w:t>
      </w:r>
      <w:r w:rsidR="00F325D7">
        <w:t xml:space="preserve">which makes it more difficult </w:t>
      </w:r>
      <w:r w:rsidR="0011665D">
        <w:t xml:space="preserve">to compare </w:t>
      </w:r>
      <w:r w:rsidR="00663D8A">
        <w:t>the goal amount accurately.</w:t>
      </w:r>
    </w:p>
    <w:p w14:paraId="290D60C0" w14:textId="77777777" w:rsidR="006A795D" w:rsidRDefault="00476F5D" w:rsidP="00476F5D">
      <w:pPr>
        <w:ind w:left="720"/>
      </w:pPr>
      <w:r>
        <w:t xml:space="preserve">Another limitation of this dataset is that the majority of the projects selected are from the US. Over 3000 projects out of 4000. </w:t>
      </w:r>
    </w:p>
    <w:p w14:paraId="014569A4" w14:textId="77777777" w:rsidR="006A795D" w:rsidRDefault="006A795D" w:rsidP="006A795D"/>
    <w:p w14:paraId="5EF25B6B" w14:textId="77777777" w:rsidR="006A795D" w:rsidRDefault="006A795D" w:rsidP="006A795D"/>
    <w:p w14:paraId="12AA0379" w14:textId="77777777" w:rsidR="006A795D" w:rsidRDefault="006A795D" w:rsidP="006A795D">
      <w:pPr>
        <w:pStyle w:val="ListParagraph"/>
        <w:numPr>
          <w:ilvl w:val="0"/>
          <w:numId w:val="1"/>
        </w:numPr>
        <w:rPr>
          <w:b/>
        </w:rPr>
      </w:pPr>
      <w:r w:rsidRPr="006A795D">
        <w:rPr>
          <w:b/>
        </w:rPr>
        <w:t xml:space="preserve">What are some other </w:t>
      </w:r>
      <w:proofErr w:type="gramStart"/>
      <w:r w:rsidRPr="006A795D">
        <w:rPr>
          <w:b/>
        </w:rPr>
        <w:t>possible tables/graphs</w:t>
      </w:r>
      <w:proofErr w:type="gramEnd"/>
      <w:r w:rsidRPr="006A795D">
        <w:rPr>
          <w:b/>
        </w:rPr>
        <w:t xml:space="preserve"> that we could create?</w:t>
      </w:r>
    </w:p>
    <w:p w14:paraId="1F53F19B" w14:textId="5CD03247" w:rsidR="00B64693" w:rsidRPr="00B64693" w:rsidRDefault="00B64693" w:rsidP="00B64693">
      <w:pPr>
        <w:pStyle w:val="ListParagraph"/>
      </w:pPr>
      <w:r>
        <w:t xml:space="preserve">We could create a graph to determine the percentage of projects that are staff picked </w:t>
      </w:r>
      <w:r w:rsidR="007D2595">
        <w:t xml:space="preserve">are successful or unsuccessful compared to projects that </w:t>
      </w:r>
      <w:r w:rsidR="00C626FD">
        <w:t xml:space="preserve">are not staff picked. </w:t>
      </w:r>
      <w:r>
        <w:t>We can also create one based on whether or not the projects were in the spotlight. This would allow us to see if more marketed or visibl</w:t>
      </w:r>
      <w:r w:rsidR="00C626FD">
        <w:t xml:space="preserve">e projects are more successful compared to the ones that are not marketed. </w:t>
      </w:r>
      <w:bookmarkStart w:id="0" w:name="_GoBack"/>
      <w:bookmarkEnd w:id="0"/>
    </w:p>
    <w:sectPr w:rsidR="00B64693" w:rsidRPr="00B64693" w:rsidSect="00A0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C87"/>
    <w:multiLevelType w:val="hybridMultilevel"/>
    <w:tmpl w:val="963C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D"/>
    <w:rsid w:val="0011665D"/>
    <w:rsid w:val="004248B4"/>
    <w:rsid w:val="00476F5D"/>
    <w:rsid w:val="00663D8A"/>
    <w:rsid w:val="006A795D"/>
    <w:rsid w:val="007A1684"/>
    <w:rsid w:val="007D2595"/>
    <w:rsid w:val="00A0196C"/>
    <w:rsid w:val="00B64693"/>
    <w:rsid w:val="00C45888"/>
    <w:rsid w:val="00C626FD"/>
    <w:rsid w:val="00F325D7"/>
    <w:rsid w:val="00F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AD7C"/>
  <w15:chartTrackingRefBased/>
  <w15:docId w15:val="{7C99EA05-0E3B-C845-AB00-06FC52A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iajadoon/Desktop/Bootcamp/Homework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iajadoon/Desktop/Bootcamp/Homework-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[Homework-1.xlsx]Sheet2!PivotTable6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>
              <a:alpha val="70980"/>
            </a:srgbClr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0000">
              <a:alpha val="70980"/>
            </a:srgb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FF0000">
              <a:alpha val="70980"/>
            </a:srgbClr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33-B442-906D-E73C7D03B22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>
                <a:alpha val="70980"/>
              </a:srgb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33-B442-906D-E73C7D03B22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33-B442-906D-E73C7D03B22E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E33-B442-906D-E73C7D03B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951169232"/>
        <c:axId val="1946550608"/>
      </c:barChart>
      <c:catAx>
        <c:axId val="195116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550608"/>
        <c:crosses val="autoZero"/>
        <c:auto val="1"/>
        <c:lblAlgn val="ctr"/>
        <c:lblOffset val="100"/>
        <c:noMultiLvlLbl val="0"/>
      </c:catAx>
      <c:valAx>
        <c:axId val="194655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16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[Homework-1.xlsx]Sheet3!PivotTable7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00B0F0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E9-9248-9605-7D8C3334C02C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E9-9248-9605-7D8C3334C02C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E9-9248-9605-7D8C3334C02C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E9-9248-9605-7D8C3334C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957019280"/>
        <c:axId val="1953347728"/>
      </c:barChart>
      <c:catAx>
        <c:axId val="195701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347728"/>
        <c:crosses val="autoZero"/>
        <c:auto val="1"/>
        <c:lblAlgn val="ctr"/>
        <c:lblOffset val="100"/>
        <c:noMultiLvlLbl val="0"/>
      </c:catAx>
      <c:valAx>
        <c:axId val="195334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701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-5400000" vert="horz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Jadoon</dc:creator>
  <cp:keywords/>
  <dc:description/>
  <cp:lastModifiedBy>Maria Jadoon</cp:lastModifiedBy>
  <cp:revision>5</cp:revision>
  <dcterms:created xsi:type="dcterms:W3CDTF">2018-09-26T01:13:00Z</dcterms:created>
  <dcterms:modified xsi:type="dcterms:W3CDTF">2018-09-28T02:03:00Z</dcterms:modified>
</cp:coreProperties>
</file>