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aps/>
          <w:color w:val="8A4FBE"/>
          <w:sz w:val="26"/>
          <w:szCs w:val="26"/>
        </w:rPr>
        <w:t xml:space="preserve">MASTER'S THESIS PLAN</w:t>
      </w:r>
    </w:p>
    <w:p>
      <w:pPr>
        <w:pBdr>
          <w:bottom w:val="single" w:color="C9BFDD" w:sz="6" w:space="8"/>
        </w:pBdr>
        <w:spacing w:after="0" w:before="60"/>
        <w:jc w:val="center"/>
      </w:pPr>
    </w:p>
    <w:p>
      <w:pPr>
        <w:spacing w:after="0" w:before="360"/>
        <w:jc w:val="center"/>
      </w:pPr>
      <w:r>
        <w:rPr>
          <w:rFonts w:ascii="Calibri" w:cs="Calibri" w:eastAsia="Calibri" w:hAnsi="Calibri"/>
          <w:b/>
          <w:bCs/>
          <w:color w:val="5B3E8E"/>
          <w:sz w:val="40"/>
          <w:szCs w:val="40"/>
        </w:rPr>
        <w:t xml:space="preserve">Low-Bandwidth Computer Vision for Automated</w:t>
      </w:r>
    </w:p>
    <w:p>
      <w:pPr>
        <w:spacing w:after="0" w:before="40"/>
        <w:jc w:val="center"/>
      </w:pPr>
      <w:r>
        <w:rPr>
          <w:rFonts w:ascii="Calibri" w:cs="Calibri" w:eastAsia="Calibri" w:hAnsi="Calibri"/>
          <w:b/>
          <w:bCs/>
          <w:color w:val="5B3E8E"/>
          <w:sz w:val="40"/>
          <w:szCs w:val="40"/>
        </w:rPr>
        <w:t xml:space="preserve">Multi-Pitch Occupancy &amp; Booking Verification</w:t>
      </w:r>
    </w:p>
    <w:p>
      <w:pPr>
        <w:spacing w:after="0" w:before="220"/>
        <w:jc w:val="center"/>
      </w:pPr>
      <w:r>
        <w:rPr>
          <w:rFonts w:ascii="Calibri" w:cs="Calibri" w:eastAsia="Calibri" w:hAnsi="Calibri"/>
          <w:i/>
          <w:iCs/>
          <w:color w:val="1B2430"/>
          <w:sz w:val="24"/>
          <w:szCs w:val="24"/>
        </w:rPr>
        <w:t xml:space="preserve">Frozen-Backbone Classifiers, Purpose-Built Edge Architectures,</w:t>
      </w:r>
    </w:p>
    <w:p>
      <w:pPr>
        <w:spacing w:after="0" w:before="20"/>
        <w:jc w:val="center"/>
      </w:pPr>
      <w:r>
        <w:rPr>
          <w:rFonts w:ascii="Calibri" w:cs="Calibri" w:eastAsia="Calibri" w:hAnsi="Calibri"/>
          <w:i/>
          <w:iCs/>
          <w:color w:val="1B2430"/>
          <w:sz w:val="24"/>
          <w:szCs w:val="24"/>
        </w:rPr>
        <w:t xml:space="preserve">and Booking-Reconciliation Auditing on a CPU-Only Mini-PC</w:t>
      </w:r>
    </w:p>
    <w:p>
      <w:pPr>
        <w:spacing w:after="700"/>
      </w:pPr>
    </w:p>
    <w:p>
      <w:pPr>
        <w:spacing w:after="60"/>
        <w:jc w:val="center"/>
      </w:pPr>
      <w:r>
        <w:rPr>
          <w:rFonts w:ascii="Georgia" w:cs="Georgia" w:eastAsia="Georgia" w:hAnsi="Georgia"/>
          <w:color w:val="1B2430"/>
          <w:sz w:val="22"/>
          <w:szCs w:val="22"/>
        </w:rPr>
        <w:t xml:space="preserve">Author:  ____________________________</w:t>
      </w:r>
    </w:p>
    <w:p>
      <w:pPr>
        <w:spacing w:after="60"/>
        <w:jc w:val="center"/>
      </w:pPr>
      <w:r>
        <w:rPr>
          <w:rFonts w:ascii="Georgia" w:cs="Georgia" w:eastAsia="Georgia" w:hAnsi="Georgia"/>
          <w:color w:val="1B2430"/>
          <w:sz w:val="22"/>
          <w:szCs w:val="22"/>
        </w:rPr>
        <w:t xml:space="preserve">Supervisor:  ____________________________</w:t>
      </w:r>
    </w:p>
    <w:p>
      <w:pPr>
        <w:spacing w:after="60"/>
        <w:jc w:val="center"/>
      </w:pPr>
      <w:r>
        <w:rPr>
          <w:rFonts w:ascii="Georgia" w:cs="Georgia" w:eastAsia="Georgia" w:hAnsi="Georgia"/>
          <w:color w:val="1B2430"/>
          <w:sz w:val="22"/>
          <w:szCs w:val="22"/>
        </w:rPr>
        <w:t xml:space="preserve">Department / Programme:  ____________________________</w:t>
      </w:r>
    </w:p>
    <w:p>
      <w:pPr>
        <w:spacing w:after="500"/>
      </w:pPr>
    </w:p>
    <w:p>
      <w:pPr>
        <w:spacing w:after="0"/>
        <w:jc w:val="center"/>
      </w:pPr>
      <w:r>
        <w:rPr>
          <w:rFonts w:ascii="Georgia" w:cs="Georgia" w:eastAsia="Georgia" w:hAnsi="Georgia"/>
          <w:i/>
          <w:iCs/>
          <w:color w:val="5A5470"/>
          <w:sz w:val="18"/>
          <w:szCs w:val="18"/>
        </w:rPr>
        <w:t xml:space="preserve">Project reference: Automated Multi-Pitch Occupancy &amp; Booking Verification System</w:t>
      </w:r>
    </w:p>
    <w:p>
      <w:pPr>
        <w:spacing w:after="0"/>
        <w:jc w:val="center"/>
      </w:pPr>
      <w:r>
        <w:rPr>
          <w:rFonts w:ascii="Georgia" w:cs="Georgia" w:eastAsia="Georgia" w:hAnsi="Georgia"/>
          <w:i/>
          <w:iCs/>
          <w:color w:val="5A5470"/>
          <w:sz w:val="18"/>
          <w:szCs w:val="18"/>
        </w:rPr>
        <w:t xml:space="preserve">Scale: 10 synthetic 5-a-side fields · 20–30 fixed IP/RTSP cameras · single Intel Mini-PC</w:t>
      </w:r>
    </w:p>
    <w:p>
      <w:pPr>
        <w:pStyle w:val="Heading1"/>
        <w:pageBreakBefore/>
        <w:spacing w:after="140" w:before="0"/>
      </w:pPr>
      <w:r>
        <w:rPr>
          <w:rFonts w:ascii="Calibri" w:cs="Calibri" w:eastAsia="Calibri" w:hAnsi="Calibri"/>
          <w:b/>
          <w:bCs/>
          <w:color w:val="5B3E8E"/>
          <w:sz w:val="30"/>
          <w:szCs w:val="30"/>
        </w:rPr>
        <w:t xml:space="preserve">Abstract</w:t>
      </w:r>
    </w:p>
    <w:p>
      <w:pPr>
        <w:spacing w:after="130" w:line="276"/>
        <w:jc w:val="both"/>
      </w:pPr>
      <w:r>
        <w:rPr>
          <w:rFonts w:ascii="Georgia" w:cs="Georgia" w:eastAsia="Georgia" w:hAnsi="Georgia"/>
          <w:color w:val="1B2430"/>
          <w:sz w:val="21"/>
          <w:szCs w:val="21"/>
        </w:rPr>
        <w:t xml:space="preserve">This thesis develops and rigorously evaluates a low-bandwidth, CPU-only computer-vision system that automatically audits how a network of synthetic 5-a-side football pitches is used. Rather than continuously decoding video, the system samples one frame per active camera each minute, classifies it as </w:t>
      </w:r>
      <w:r>
        <w:rPr>
          <w:rFonts w:ascii="Georgia" w:cs="Georgia" w:eastAsia="Georgia" w:hAnsi="Georgia"/>
          <w:i/>
          <w:iCs/>
          <w:color w:val="1B2430"/>
          <w:sz w:val="21"/>
          <w:szCs w:val="21"/>
        </w:rPr>
        <w:t xml:space="preserve">empty</w:t>
      </w:r>
      <w:r>
        <w:rPr>
          <w:rFonts w:ascii="Georgia" w:cs="Georgia" w:eastAsia="Georgia" w:hAnsi="Georgia"/>
          <w:color w:val="1B2430"/>
          <w:sz w:val="21"/>
          <w:szCs w:val="21"/>
        </w:rPr>
        <w:t xml:space="preserve">, </w:t>
      </w:r>
      <w:r>
        <w:rPr>
          <w:rFonts w:ascii="Georgia" w:cs="Georgia" w:eastAsia="Georgia" w:hAnsi="Georgia"/>
          <w:i/>
          <w:iCs/>
          <w:color w:val="1B2430"/>
          <w:sz w:val="21"/>
          <w:szCs w:val="21"/>
        </w:rPr>
        <w:t xml:space="preserve">active play</w:t>
      </w:r>
      <w:r>
        <w:rPr>
          <w:rFonts w:ascii="Georgia" w:cs="Georgia" w:eastAsia="Georgia" w:hAnsi="Georgia"/>
          <w:color w:val="1B2430"/>
          <w:sz w:val="21"/>
          <w:szCs w:val="21"/>
        </w:rPr>
        <w:t xml:space="preserve">, or </w:t>
      </w:r>
      <w:r>
        <w:rPr>
          <w:rFonts w:ascii="Georgia" w:cs="Georgia" w:eastAsia="Georgia" w:hAnsi="Georgia"/>
          <w:i/>
          <w:iCs/>
          <w:color w:val="1B2430"/>
          <w:sz w:val="21"/>
          <w:szCs w:val="21"/>
        </w:rPr>
        <w:t xml:space="preserve">maintenance / non-sporting</w:t>
      </w:r>
      <w:r>
        <w:rPr>
          <w:rFonts w:ascii="Georgia" w:cs="Georgia" w:eastAsia="Georgia" w:hAnsi="Georgia"/>
          <w:color w:val="1B2430"/>
          <w:sz w:val="21"/>
          <w:szCs w:val="21"/>
        </w:rPr>
        <w:t xml:space="preserve">, and aggregates these per-frame predictions across a rental slot into a verdict of USED, NOTUSED, or REVIEW, bound to three evidence images for one-click human audit.</w:t>
      </w:r>
    </w:p>
    <w:p>
      <w:pPr>
        <w:spacing w:after="130" w:line="276"/>
        <w:jc w:val="both"/>
      </w:pPr>
      <w:r>
        <w:rPr>
          <w:rFonts w:ascii="Georgia" w:cs="Georgia" w:eastAsia="Georgia" w:hAnsi="Georgia"/>
          <w:color w:val="1B2430"/>
          <w:sz w:val="21"/>
          <w:szCs w:val="21"/>
        </w:rPr>
        <w:t xml:space="preserve">Four models are compared under one protocol: three frozen pretrained backbones (supervised ViT-Base, self-supervised DINOv2-Base, compact ConvNeXtV2-Tiny) each with a lightweight logistic-regression head, and a zero-shot vision–language baseline (OpenCLIP ViT-B/32). Preliminary experiments on 1,296 night-and-fog CCTV frames show the frozen-backbone probes reach 98–99% accuracy at 100–250 ms per frame on CPU, versus ~76% for the best zero-shot model. </w:t>
      </w:r>
      <w:r>
        <w:rPr>
          <w:rFonts w:ascii="Georgia" w:cs="Georgia" w:eastAsia="Georgia" w:hAnsi="Georgia"/>
          <w:b/>
          <w:bCs/>
          <w:color w:val="1B2430"/>
          <w:sz w:val="21"/>
          <w:szCs w:val="21"/>
        </w:rPr>
        <w:t xml:space="preserve">These early figures are treated as a feasibility signal, not a result: they come from a same-scene split with two starved classes, so the plan centres on a leakage-free, multi-venue re-evaluation with proper statistical testing.</w:t>
      </w:r>
    </w:p>
    <w:p>
      <w:pPr>
        <w:spacing w:after="130" w:line="276"/>
        <w:jc w:val="both"/>
      </w:pPr>
      <w:r>
        <w:rPr>
          <w:rFonts w:ascii="Georgia" w:cs="Georgia" w:eastAsia="Georgia" w:hAnsi="Georgia"/>
          <w:color w:val="1B2430"/>
          <w:sz w:val="21"/>
          <w:szCs w:val="21"/>
        </w:rPr>
        <w:t xml:space="preserve">To move beyond a comparison study, the thesis proposes and ablates a small family of purpose-built, edge-constrained architectures: a </w:t>
      </w:r>
      <w:r>
        <w:rPr>
          <w:rFonts w:ascii="Georgia" w:cs="Georgia" w:eastAsia="Georgia" w:hAnsi="Georgia"/>
          <w:b/>
          <w:bCs/>
          <w:color w:val="1B2430"/>
          <w:sz w:val="21"/>
          <w:szCs w:val="21"/>
        </w:rPr>
        <w:t xml:space="preserve">learned slot-temporal aggregator</w:t>
      </w:r>
      <w:r>
        <w:rPr>
          <w:rFonts w:ascii="Georgia" w:cs="Georgia" w:eastAsia="Georgia" w:hAnsi="Georgia"/>
          <w:color w:val="1B2430"/>
          <w:sz w:val="21"/>
          <w:szCs w:val="21"/>
        </w:rPr>
        <w:t xml:space="preserve"> that replaces hand-tuned decision thresholds, a </w:t>
      </w:r>
      <w:r>
        <w:rPr>
          <w:rFonts w:ascii="Georgia" w:cs="Georgia" w:eastAsia="Georgia" w:hAnsi="Georgia"/>
          <w:b/>
          <w:bCs/>
          <w:color w:val="1B2430"/>
          <w:sz w:val="21"/>
          <w:szCs w:val="21"/>
        </w:rPr>
        <w:t xml:space="preserve">condition-gated multi-backbone fusion head</w:t>
      </w:r>
      <w:r>
        <w:rPr>
          <w:rFonts w:ascii="Georgia" w:cs="Georgia" w:eastAsia="Georgia" w:hAnsi="Georgia"/>
          <w:color w:val="1B2430"/>
          <w:sz w:val="21"/>
          <w:szCs w:val="21"/>
        </w:rPr>
        <w:t xml:space="preserve">, and a </w:t>
      </w:r>
      <w:r>
        <w:rPr>
          <w:rFonts w:ascii="Georgia" w:cs="Georgia" w:eastAsia="Georgia" w:hAnsi="Georgia"/>
          <w:b/>
          <w:bCs/>
          <w:color w:val="1B2430"/>
          <w:sz w:val="21"/>
          <w:szCs w:val="21"/>
        </w:rPr>
        <w:t xml:space="preserve">context-aware multimodal classifier</w:t>
      </w:r>
      <w:r>
        <w:rPr>
          <w:rFonts w:ascii="Georgia" w:cs="Georgia" w:eastAsia="Georgia" w:hAnsi="Georgia"/>
          <w:color w:val="1B2430"/>
          <w:sz w:val="21"/>
          <w:szCs w:val="21"/>
        </w:rPr>
        <w:t xml:space="preserve"> that fuses visual features with booking and temporal priors. A further operational contribution reconciles the system's visual verdicts against the facility's booking and staff-entry records, converting perception into anomaly detection that flags no-shows, unbooked usage, and data-entry errors. The work delivers a reproducible pipeline, a documented multi-condition dataset, a statistically grounded benchmark, novel edge architectures, a reconciliation module, and a hardware-validated deployment.</w:t>
      </w:r>
    </w:p>
    <w:p>
      <w:pPr>
        <w:pStyle w:val="Heading1"/>
        <w:pageBreakBefore/>
        <w:spacing w:after="140" w:before="0"/>
      </w:pPr>
      <w:r>
        <w:rPr>
          <w:rFonts w:ascii="Calibri" w:cs="Calibri" w:eastAsia="Calibri" w:hAnsi="Calibri"/>
          <w:b/>
          <w:bCs/>
          <w:color w:val="5B3E8E"/>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140" w:before="0"/>
      </w:pPr>
      <w:r>
        <w:rPr>
          <w:rFonts w:ascii="Calibri" w:cs="Calibri" w:eastAsia="Calibri" w:hAnsi="Calibri"/>
          <w:b/>
          <w:bCs/>
          <w:color w:val="5B3E8E"/>
          <w:sz w:val="30"/>
          <w:szCs w:val="30"/>
        </w:rPr>
        <w:t xml:space="preserve">1.  Introduction</w:t>
      </w:r>
    </w:p>
    <w:p>
      <w:pPr>
        <w:pStyle w:val="Heading2"/>
        <w:spacing w:after="90" w:before="240"/>
      </w:pPr>
      <w:r>
        <w:rPr>
          <w:rFonts w:ascii="Calibri" w:cs="Calibri" w:eastAsia="Calibri" w:hAnsi="Calibri"/>
          <w:b/>
          <w:bCs/>
          <w:color w:val="8A4FBE"/>
          <w:sz w:val="25"/>
          <w:szCs w:val="25"/>
        </w:rPr>
        <w:t xml:space="preserve">1.1  Background and Motivation</w:t>
      </w:r>
    </w:p>
    <w:p>
      <w:pPr>
        <w:spacing w:after="130" w:line="276"/>
        <w:jc w:val="both"/>
      </w:pPr>
      <w:r>
        <w:rPr>
          <w:rFonts w:ascii="Georgia" w:cs="Georgia" w:eastAsia="Georgia" w:hAnsi="Georgia"/>
          <w:color w:val="1B2430"/>
          <w:sz w:val="21"/>
          <w:szCs w:val="21"/>
        </w:rPr>
        <w:t xml:space="preserve">Operators of multi-pitch sports facilities rent out playing fields in fixed time slots. Knowing whether each slot was actually played, left empty, or occupied only by maintenance staff is directly tied to revenue, staffing, dispute resolution, and dynamic pricing. Today this is verified manually or not at all — slow, subjective, and error-prone. Continuous video analytics could answer the question, but naïvely streaming 20–30 high-frame-rate feeds demands GPU servers, saturates local networks, and adds cloud dependencies operators resist.</w:t>
      </w:r>
    </w:p>
    <w:p>
      <w:pPr>
        <w:spacing w:after="130" w:line="276"/>
        <w:jc w:val="both"/>
      </w:pPr>
      <w:r>
        <w:rPr>
          <w:rFonts w:ascii="Georgia" w:cs="Georgia" w:eastAsia="Georgia" w:hAnsi="Georgia"/>
          <w:color w:val="1B2430"/>
          <w:sz w:val="21"/>
          <w:szCs w:val="21"/>
        </w:rPr>
        <w:t xml:space="preserve">This thesis pursues the opposite philosophy: </w:t>
      </w:r>
      <w:r>
        <w:rPr>
          <w:rFonts w:ascii="Georgia" w:cs="Georgia" w:eastAsia="Georgia" w:hAnsi="Georgia"/>
          <w:b/>
          <w:bCs/>
          <w:color w:val="1B2430"/>
          <w:sz w:val="21"/>
          <w:szCs w:val="21"/>
        </w:rPr>
        <w:t xml:space="preserve">low-frequency sampling over continuous streaming</w:t>
      </w:r>
      <w:r>
        <w:rPr>
          <w:rFonts w:ascii="Georgia" w:cs="Georgia" w:eastAsia="Georgia" w:hAnsi="Georgia"/>
          <w:color w:val="1B2430"/>
          <w:sz w:val="21"/>
          <w:szCs w:val="21"/>
        </w:rPr>
        <w:t xml:space="preserve">. Capturing one snapshot per camera per minute and classifying it with a compact model cuts network load by roughly 99% (from ~60–90 Mbps to under 1 Mbps) and runs entirely on a single Intel Mini-PC with no discrete GPU. The core question is whether modern frozen vision backbones plus a small trainable module can deliver production-grade accuracy under these constraints and under night, fog, and glare.</w:t>
      </w:r>
    </w:p>
    <w:p>
      <w:pPr>
        <w:pStyle w:val="Heading2"/>
        <w:spacing w:after="90" w:before="240"/>
      </w:pPr>
      <w:r>
        <w:rPr>
          <w:rFonts w:ascii="Calibri" w:cs="Calibri" w:eastAsia="Calibri" w:hAnsi="Calibri"/>
          <w:b/>
          <w:bCs/>
          <w:color w:val="8A4FBE"/>
          <w:sz w:val="25"/>
          <w:szCs w:val="25"/>
        </w:rPr>
        <w:t xml:space="preserve">1.2  Problem Statement</w:t>
      </w:r>
    </w:p>
    <w:p>
      <w:pPr>
        <w:spacing w:after="130" w:line="276"/>
        <w:jc w:val="both"/>
      </w:pPr>
      <w:r>
        <w:rPr>
          <w:rFonts w:ascii="Georgia" w:cs="Georgia" w:eastAsia="Georgia" w:hAnsi="Georgia"/>
          <w:color w:val="1B2430"/>
          <w:sz w:val="21"/>
          <w:szCs w:val="21"/>
        </w:rPr>
        <w:t xml:space="preserve">Given a fixed camera view and a defined rental slot, the system must decide the slot's utilisation status while satisfying four hard constraints: CPU-only inference on commodity edge hardware; minimal bandwidth; robustness to night, fog, glare, and post-game clutter; and auditability, so every automated decision is human-verifiable in seconds. A higher-value problem is that the facility's own booking and staff-entry records may be incomplete or wrong; the system should therefore reconcile what it sees against what staff recorded.</w:t>
      </w:r>
    </w:p>
    <w:p>
      <w:pPr>
        <w:pStyle w:val="Heading2"/>
        <w:spacing w:after="90" w:before="240"/>
      </w:pPr>
      <w:r>
        <w:rPr>
          <w:rFonts w:ascii="Calibri" w:cs="Calibri" w:eastAsia="Calibri" w:hAnsi="Calibri"/>
          <w:b/>
          <w:bCs/>
          <w:color w:val="8A4FBE"/>
          <w:sz w:val="25"/>
          <w:szCs w:val="25"/>
        </w:rPr>
        <w:t xml:space="preserve">1.3  Research Questions</w:t>
      </w:r>
    </w:p>
    <w:p>
      <w:pPr>
        <w:pStyle w:val="ListParagraph"/>
        <w:numPr>
          <w:ilvl w:val="0"/>
          <w:numId w:val="2"/>
        </w:numPr>
        <w:spacing w:after="60" w:line="270"/>
        <w:jc w:val="left"/>
      </w:pPr>
      <w:r>
        <w:rPr>
          <w:rFonts w:ascii="Georgia" w:cs="Georgia" w:eastAsia="Georgia" w:hAnsi="Georgia"/>
          <w:b/>
          <w:bCs/>
          <w:color w:val="1B2430"/>
          <w:sz w:val="21"/>
          <w:szCs w:val="21"/>
        </w:rPr>
        <w:t xml:space="preserve">RQ1. </w:t>
      </w:r>
      <w:r>
        <w:rPr>
          <w:rFonts w:ascii="Georgia" w:cs="Georgia" w:eastAsia="Georgia" w:hAnsi="Georgia"/>
          <w:color w:val="1B2430"/>
          <w:sz w:val="21"/>
          <w:szCs w:val="21"/>
        </w:rPr>
        <w:t xml:space="preserve">Can a frozen-backbone + lightweight-head architecture classify pitch occupancy at production accuracy on CPU-only hardware under night and fog?</w:t>
      </w:r>
    </w:p>
    <w:p>
      <w:pPr>
        <w:pStyle w:val="ListParagraph"/>
        <w:numPr>
          <w:ilvl w:val="0"/>
          <w:numId w:val="2"/>
        </w:numPr>
        <w:spacing w:after="60" w:line="270"/>
        <w:jc w:val="left"/>
      </w:pPr>
      <w:r>
        <w:rPr>
          <w:rFonts w:ascii="Georgia" w:cs="Georgia" w:eastAsia="Georgia" w:hAnsi="Georgia"/>
          <w:b/>
          <w:bCs/>
          <w:color w:val="1B2430"/>
          <w:sz w:val="21"/>
          <w:szCs w:val="21"/>
        </w:rPr>
        <w:t xml:space="preserve">RQ2. </w:t>
      </w:r>
      <w:r>
        <w:rPr>
          <w:rFonts w:ascii="Georgia" w:cs="Georgia" w:eastAsia="Georgia" w:hAnsi="Georgia"/>
          <w:color w:val="1B2430"/>
          <w:sz w:val="21"/>
          <w:szCs w:val="21"/>
        </w:rPr>
        <w:t xml:space="preserve">Which of the four candidate models offers the best accuracy–latency–memory trade-off for one Mini-PC serving 20–30 cameras?</w:t>
      </w:r>
    </w:p>
    <w:p>
      <w:pPr>
        <w:pStyle w:val="ListParagraph"/>
        <w:numPr>
          <w:ilvl w:val="0"/>
          <w:numId w:val="2"/>
        </w:numPr>
        <w:spacing w:after="60" w:line="270"/>
        <w:jc w:val="left"/>
      </w:pPr>
      <w:r>
        <w:rPr>
          <w:rFonts w:ascii="Georgia" w:cs="Georgia" w:eastAsia="Georgia" w:hAnsi="Georgia"/>
          <w:b/>
          <w:bCs/>
          <w:color w:val="1B2430"/>
          <w:sz w:val="21"/>
          <w:szCs w:val="21"/>
        </w:rPr>
        <w:t xml:space="preserve">RQ3. </w:t>
      </w:r>
      <w:r>
        <w:rPr>
          <w:rFonts w:ascii="Georgia" w:cs="Georgia" w:eastAsia="Georgia" w:hAnsi="Georgia"/>
          <w:color w:val="1B2430"/>
          <w:sz w:val="21"/>
          <w:szCs w:val="21"/>
        </w:rPr>
        <w:t xml:space="preserve">How does leakage-free, multi-venue evaluation change apparent performance versus a same-scene split, and what data volume and diversity close the class-imbalance gap?</w:t>
      </w:r>
    </w:p>
    <w:p>
      <w:pPr>
        <w:pStyle w:val="ListParagraph"/>
        <w:numPr>
          <w:ilvl w:val="0"/>
          <w:numId w:val="2"/>
        </w:numPr>
        <w:spacing w:after="60" w:line="270"/>
        <w:jc w:val="left"/>
      </w:pPr>
      <w:r>
        <w:rPr>
          <w:rFonts w:ascii="Georgia" w:cs="Georgia" w:eastAsia="Georgia" w:hAnsi="Georgia"/>
          <w:b/>
          <w:bCs/>
          <w:color w:val="1B2430"/>
          <w:sz w:val="21"/>
          <w:szCs w:val="21"/>
        </w:rPr>
        <w:t xml:space="preserve">RQ4. </w:t>
      </w:r>
      <w:r>
        <w:rPr>
          <w:rFonts w:ascii="Georgia" w:cs="Georgia" w:eastAsia="Georgia" w:hAnsi="Georgia"/>
          <w:color w:val="1B2430"/>
          <w:sz w:val="21"/>
          <w:szCs w:val="21"/>
        </w:rPr>
        <w:t xml:space="preserve">Can a slot-level aggregation and booking-reconciliation layer reliably detect discrepancies between staff-recorded bookings and observed occupancy?</w:t>
      </w:r>
    </w:p>
    <w:p>
      <w:pPr>
        <w:pStyle w:val="ListParagraph"/>
        <w:numPr>
          <w:ilvl w:val="0"/>
          <w:numId w:val="2"/>
        </w:numPr>
        <w:spacing w:after="60" w:line="270"/>
        <w:jc w:val="left"/>
      </w:pPr>
      <w:r>
        <w:rPr>
          <w:rFonts w:ascii="Georgia" w:cs="Georgia" w:eastAsia="Georgia" w:hAnsi="Georgia"/>
          <w:b/>
          <w:bCs/>
          <w:color w:val="1B2430"/>
          <w:sz w:val="21"/>
          <w:szCs w:val="21"/>
        </w:rPr>
        <w:t xml:space="preserve">RQ5. </w:t>
      </w:r>
      <w:r>
        <w:rPr>
          <w:rFonts w:ascii="Georgia" w:cs="Georgia" w:eastAsia="Georgia" w:hAnsi="Georgia"/>
          <w:color w:val="1B2430"/>
          <w:sz w:val="21"/>
          <w:szCs w:val="21"/>
        </w:rPr>
        <w:t xml:space="preserve">Can purpose-designed lightweight architectures — a learned slot-temporal aggregator, a condition-gated multi-backbone fusion head, and a context-aware multimodal classifier — outperform single-backbone probes with hand-tuned threshold aggregation, while staying within the CPU/edge budget?</w:t>
      </w:r>
    </w:p>
    <w:p>
      <w:pPr>
        <w:pStyle w:val="Heading2"/>
        <w:spacing w:after="90" w:before="240"/>
      </w:pPr>
      <w:r>
        <w:rPr>
          <w:rFonts w:ascii="Calibri" w:cs="Calibri" w:eastAsia="Calibri" w:hAnsi="Calibri"/>
          <w:b/>
          <w:bCs/>
          <w:color w:val="8A4FBE"/>
          <w:sz w:val="25"/>
          <w:szCs w:val="25"/>
        </w:rPr>
        <w:t xml:space="preserve">1.4  Objectives and Contributions</w:t>
      </w:r>
    </w:p>
    <w:p>
      <w:pPr>
        <w:spacing w:after="130" w:line="276"/>
        <w:jc w:val="both"/>
      </w:pPr>
      <w:r>
        <w:rPr>
          <w:rFonts w:ascii="Georgia" w:cs="Georgia" w:eastAsia="Georgia" w:hAnsi="Georgia"/>
          <w:color w:val="1B2430"/>
          <w:sz w:val="21"/>
          <w:szCs w:val="21"/>
        </w:rPr>
        <w:t xml:space="preserve">The thesis targets six deliverables:</w:t>
      </w:r>
    </w:p>
    <w:p>
      <w:pPr>
        <w:pStyle w:val="ListParagraph"/>
        <w:numPr>
          <w:ilvl w:val="0"/>
          <w:numId w:val="3"/>
        </w:numPr>
        <w:spacing w:after="60" w:line="270"/>
        <w:jc w:val="left"/>
      </w:pPr>
      <w:r>
        <w:rPr>
          <w:rFonts w:ascii="Georgia" w:cs="Georgia" w:eastAsia="Georgia" w:hAnsi="Georgia"/>
          <w:b/>
          <w:bCs/>
          <w:color w:val="1B2430"/>
          <w:sz w:val="21"/>
          <w:szCs w:val="21"/>
        </w:rPr>
        <w:t xml:space="preserve">Systems: </w:t>
      </w:r>
      <w:r>
        <w:rPr>
          <w:rFonts w:ascii="Georgia" w:cs="Georgia" w:eastAsia="Georgia" w:hAnsi="Georgia"/>
          <w:color w:val="1B2430"/>
          <w:sz w:val="21"/>
          <w:szCs w:val="21"/>
        </w:rPr>
        <w:t xml:space="preserve">a reproducible, CPU-only, low-bandwidth pipeline (capture → preprocess → classify → aggregate → decide → evidence).</w:t>
      </w:r>
    </w:p>
    <w:p>
      <w:pPr>
        <w:pStyle w:val="ListParagraph"/>
        <w:numPr>
          <w:ilvl w:val="0"/>
          <w:numId w:val="3"/>
        </w:numPr>
        <w:spacing w:after="60" w:line="270"/>
        <w:jc w:val="left"/>
      </w:pPr>
      <w:r>
        <w:rPr>
          <w:rFonts w:ascii="Georgia" w:cs="Georgia" w:eastAsia="Georgia" w:hAnsi="Georgia"/>
          <w:b/>
          <w:bCs/>
          <w:color w:val="1B2430"/>
          <w:sz w:val="21"/>
          <w:szCs w:val="21"/>
        </w:rPr>
        <w:t xml:space="preserve">Empirical: </w:t>
      </w:r>
      <w:r>
        <w:rPr>
          <w:rFonts w:ascii="Georgia" w:cs="Georgia" w:eastAsia="Georgia" w:hAnsi="Georgia"/>
          <w:color w:val="1B2430"/>
          <w:sz w:val="21"/>
          <w:szCs w:val="21"/>
        </w:rPr>
        <w:t xml:space="preserve">a fair four-model benchmark under one protocol, with leakage-free splits, confidence intervals, and significance testing.</w:t>
      </w:r>
    </w:p>
    <w:p>
      <w:pPr>
        <w:pStyle w:val="ListParagraph"/>
        <w:numPr>
          <w:ilvl w:val="0"/>
          <w:numId w:val="3"/>
        </w:numPr>
        <w:spacing w:after="60" w:line="270"/>
        <w:jc w:val="left"/>
      </w:pPr>
      <w:r>
        <w:rPr>
          <w:rFonts w:ascii="Georgia" w:cs="Georgia" w:eastAsia="Georgia" w:hAnsi="Georgia"/>
          <w:b/>
          <w:bCs/>
          <w:color w:val="1B2430"/>
          <w:sz w:val="21"/>
          <w:szCs w:val="21"/>
        </w:rPr>
        <w:t xml:space="preserve">Architectural (novelty): </w:t>
      </w:r>
      <w:r>
        <w:rPr>
          <w:rFonts w:ascii="Georgia" w:cs="Georgia" w:eastAsia="Georgia" w:hAnsi="Georgia"/>
          <w:color w:val="1B2430"/>
          <w:sz w:val="21"/>
          <w:szCs w:val="21"/>
        </w:rPr>
        <w:t xml:space="preserve">a family of lightweight, edge-constrained modules — learned temporal aggregation, gated multi-backbone fusion, and context-aware multimodal fusion — proposed and ablated against strong baselines.</w:t>
      </w:r>
    </w:p>
    <w:p>
      <w:pPr>
        <w:pStyle w:val="ListParagraph"/>
        <w:numPr>
          <w:ilvl w:val="0"/>
          <w:numId w:val="3"/>
        </w:numPr>
        <w:spacing w:after="60" w:line="270"/>
        <w:jc w:val="left"/>
      </w:pPr>
      <w:r>
        <w:rPr>
          <w:rFonts w:ascii="Georgia" w:cs="Georgia" w:eastAsia="Georgia" w:hAnsi="Georgia"/>
          <w:b/>
          <w:bCs/>
          <w:color w:val="1B2430"/>
          <w:sz w:val="21"/>
          <w:szCs w:val="21"/>
        </w:rPr>
        <w:t xml:space="preserve">Dataset: </w:t>
      </w:r>
      <w:r>
        <w:rPr>
          <w:rFonts w:ascii="Georgia" w:cs="Georgia" w:eastAsia="Georgia" w:hAnsi="Georgia"/>
          <w:color w:val="1B2430"/>
          <w:sz w:val="21"/>
          <w:szCs w:val="21"/>
        </w:rPr>
        <w:t xml:space="preserve">a documented multi-venue, multi-condition pitch-occupancy dataset with explicit taxonomy and edge-case coverage.</w:t>
      </w:r>
    </w:p>
    <w:p>
      <w:pPr>
        <w:pStyle w:val="ListParagraph"/>
        <w:numPr>
          <w:ilvl w:val="0"/>
          <w:numId w:val="3"/>
        </w:numPr>
        <w:spacing w:after="60" w:line="270"/>
        <w:jc w:val="left"/>
      </w:pPr>
      <w:r>
        <w:rPr>
          <w:rFonts w:ascii="Georgia" w:cs="Georgia" w:eastAsia="Georgia" w:hAnsi="Georgia"/>
          <w:b/>
          <w:bCs/>
          <w:color w:val="1B2430"/>
          <w:sz w:val="21"/>
          <w:szCs w:val="21"/>
        </w:rPr>
        <w:t xml:space="preserve">Operational novelty: </w:t>
      </w:r>
      <w:r>
        <w:rPr>
          <w:rFonts w:ascii="Georgia" w:cs="Georgia" w:eastAsia="Georgia" w:hAnsi="Georgia"/>
          <w:color w:val="1B2430"/>
          <w:sz w:val="21"/>
          <w:szCs w:val="21"/>
        </w:rPr>
        <w:t xml:space="preserve">a booking-reconciliation / staff-entry audit layer turning perception into anomaly detection and continuous low-cost re-labelling.</w:t>
      </w:r>
    </w:p>
    <w:p>
      <w:pPr>
        <w:pStyle w:val="ListParagraph"/>
        <w:numPr>
          <w:ilvl w:val="0"/>
          <w:numId w:val="3"/>
        </w:numPr>
        <w:spacing w:after="60" w:line="270"/>
        <w:jc w:val="left"/>
      </w:pPr>
      <w:r>
        <w:rPr>
          <w:rFonts w:ascii="Georgia" w:cs="Georgia" w:eastAsia="Georgia" w:hAnsi="Georgia"/>
          <w:b/>
          <w:bCs/>
          <w:color w:val="1B2430"/>
          <w:sz w:val="21"/>
          <w:szCs w:val="21"/>
        </w:rPr>
        <w:t xml:space="preserve">Deployment: </w:t>
      </w:r>
      <w:r>
        <w:rPr>
          <w:rFonts w:ascii="Georgia" w:cs="Georgia" w:eastAsia="Georgia" w:hAnsi="Georgia"/>
          <w:color w:val="1B2430"/>
          <w:sz w:val="21"/>
          <w:szCs w:val="21"/>
        </w:rPr>
        <w:t xml:space="preserve">a hardware-validated blueprint including a 48-hour live acceptance run.</w:t>
      </w:r>
    </w:p>
    <w:p>
      <w:pPr>
        <w:pStyle w:val="Heading2"/>
        <w:spacing w:after="90" w:before="240"/>
      </w:pPr>
      <w:r>
        <w:rPr>
          <w:rFonts w:ascii="Calibri" w:cs="Calibri" w:eastAsia="Calibri" w:hAnsi="Calibri"/>
          <w:b/>
          <w:bCs/>
          <w:color w:val="8A4FBE"/>
          <w:sz w:val="25"/>
          <w:szCs w:val="25"/>
        </w:rPr>
        <w:t xml:space="preserve">1.5  Scope and Delimitations</w:t>
      </w:r>
    </w:p>
    <w:p>
      <w:pPr>
        <w:spacing w:after="130" w:line="276"/>
        <w:jc w:val="both"/>
      </w:pPr>
      <w:r>
        <w:rPr>
          <w:rFonts w:ascii="Georgia" w:cs="Georgia" w:eastAsia="Georgia" w:hAnsi="Georgia"/>
          <w:color w:val="1B2430"/>
          <w:sz w:val="21"/>
          <w:szCs w:val="21"/>
        </w:rPr>
        <w:t xml:space="preserve">The system classifies </w:t>
      </w:r>
      <w:r>
        <w:rPr>
          <w:rFonts w:ascii="Georgia" w:cs="Georgia" w:eastAsia="Georgia" w:hAnsi="Georgia"/>
          <w:b/>
          <w:bCs/>
          <w:color w:val="1B2430"/>
          <w:sz w:val="21"/>
          <w:szCs w:val="21"/>
        </w:rPr>
        <w:t xml:space="preserve">scene-level occupancy state</w:t>
      </w:r>
      <w:r>
        <w:rPr>
          <w:rFonts w:ascii="Georgia" w:cs="Georgia" w:eastAsia="Georgia" w:hAnsi="Georgia"/>
          <w:color w:val="1B2430"/>
          <w:sz w:val="21"/>
          <w:szCs w:val="21"/>
        </w:rPr>
        <w:t xml:space="preserve">, not player tracking, scoring, or identification. Tier-2 detection is only an ambiguity resolver. Face recognition and re-identification are explicitly out of scope. The prototype targets synthetic-turf 5-a-side pitches with fixed cameras; grass pitches and PTZ cameras are future work.</w:t>
      </w:r>
    </w:p>
    <w:p>
      <w:pPr>
        <w:pStyle w:val="Heading2"/>
        <w:spacing w:after="90" w:before="240"/>
      </w:pPr>
      <w:r>
        <w:rPr>
          <w:rFonts w:ascii="Calibri" w:cs="Calibri" w:eastAsia="Calibri" w:hAnsi="Calibri"/>
          <w:b/>
          <w:bCs/>
          <w:color w:val="8A4FBE"/>
          <w:sz w:val="25"/>
          <w:szCs w:val="25"/>
        </w:rPr>
        <w:t xml:space="preserve">1.6  Thesis Structure</w:t>
      </w:r>
    </w:p>
    <w:p>
      <w:pPr>
        <w:spacing w:after="130" w:line="276"/>
        <w:jc w:val="both"/>
      </w:pPr>
      <w:r>
        <w:rPr>
          <w:rFonts w:ascii="Georgia" w:cs="Georgia" w:eastAsia="Georgia" w:hAnsi="Georgia"/>
          <w:color w:val="1B2430"/>
          <w:sz w:val="21"/>
          <w:szCs w:val="21"/>
        </w:rPr>
        <w:t xml:space="preserve">Chapter 2 reviews related work. Chapter 3 details data, taxonomy, preprocessing, models, training, and evaluation. Chapter 4 presents the novel edge architectures. Chapter 5 gives the system architecture and decision model. Chapter 6 reports preliminary results with statistical analysis and threats to validity. Chapter 7 is the client-deployment and reconciliation plan. Chapter 8 lists prioritised extensions for time ahead of schedule. Chapter 9 sets out the timeline. Chapter 10 covers contributions, ethics, and risk. Chapter 11 concludes.</w:t>
      </w:r>
    </w:p>
    <w:p>
      <w:pPr>
        <w:pStyle w:val="Heading1"/>
        <w:pageBreakBefore/>
        <w:spacing w:after="140" w:before="0"/>
      </w:pPr>
      <w:r>
        <w:rPr>
          <w:rFonts w:ascii="Calibri" w:cs="Calibri" w:eastAsia="Calibri" w:hAnsi="Calibri"/>
          <w:b/>
          <w:bCs/>
          <w:color w:val="5B3E8E"/>
          <w:sz w:val="30"/>
          <w:szCs w:val="30"/>
        </w:rPr>
        <w:t xml:space="preserve">2.  Background and Related Work</w:t>
      </w:r>
    </w:p>
    <w:p>
      <w:pPr>
        <w:spacing w:after="130" w:line="276"/>
        <w:jc w:val="both"/>
      </w:pPr>
      <w:r>
        <w:rPr>
          <w:rFonts w:ascii="Georgia" w:cs="Georgia" w:eastAsia="Georgia" w:hAnsi="Georgia"/>
          <w:color w:val="1B2430"/>
          <w:sz w:val="21"/>
          <w:szCs w:val="21"/>
        </w:rPr>
        <w:t xml:space="preserve">This chapter situates the project within five strands of literature and identifies the gap it addresses.</w:t>
      </w:r>
    </w:p>
    <w:p>
      <w:pPr>
        <w:pStyle w:val="Heading2"/>
        <w:spacing w:after="90" w:before="240"/>
      </w:pPr>
      <w:r>
        <w:rPr>
          <w:rFonts w:ascii="Calibri" w:cs="Calibri" w:eastAsia="Calibri" w:hAnsi="Calibri"/>
          <w:b/>
          <w:bCs/>
          <w:color w:val="8A4FBE"/>
          <w:sz w:val="25"/>
          <w:szCs w:val="25"/>
        </w:rPr>
        <w:t xml:space="preserve">2.1  Visual Occupancy and Scene-State Classification</w:t>
      </w:r>
    </w:p>
    <w:p>
      <w:pPr>
        <w:spacing w:after="130" w:line="276"/>
        <w:jc w:val="both"/>
      </w:pPr>
      <w:r>
        <w:rPr>
          <w:rFonts w:ascii="Georgia" w:cs="Georgia" w:eastAsia="Georgia" w:hAnsi="Georgia"/>
          <w:color w:val="1B2430"/>
          <w:sz w:val="21"/>
          <w:szCs w:val="21"/>
        </w:rPr>
        <w:t xml:space="preserve">Scene-level occupancy estimation — deciding a monitored space's state rather than locating every object — is well studied for parking, retail, and crowd monitoring. Sparse temporal sampling is attractive when state changes slowly relative to frame rate, exactly the case for a 60–90-minute rental slot. The thesis formalises a per-slot aggregation model over sparse per-frame predictions.</w:t>
      </w:r>
    </w:p>
    <w:p>
      <w:pPr>
        <w:pStyle w:val="Heading2"/>
        <w:spacing w:after="90" w:before="240"/>
      </w:pPr>
      <w:r>
        <w:rPr>
          <w:rFonts w:ascii="Calibri" w:cs="Calibri" w:eastAsia="Calibri" w:hAnsi="Calibri"/>
          <w:b/>
          <w:bCs/>
          <w:color w:val="8A4FBE"/>
          <w:sz w:val="25"/>
          <w:szCs w:val="25"/>
        </w:rPr>
        <w:t xml:space="preserve">2.2  Zero-Shot Vision–Language Models</w:t>
      </w:r>
    </w:p>
    <w:p>
      <w:pPr>
        <w:spacing w:after="130" w:line="276"/>
        <w:jc w:val="both"/>
      </w:pPr>
      <w:r>
        <w:rPr>
          <w:rFonts w:ascii="Georgia" w:cs="Georgia" w:eastAsia="Georgia" w:hAnsi="Georgia"/>
          <w:color w:val="1B2430"/>
          <w:sz w:val="21"/>
          <w:szCs w:val="21"/>
        </w:rPr>
        <w:t xml:space="preserve">Contrastive vision–language models (CLIP, OpenCLIP, SigLIP) classify by comparing images to text prompts with no task-specific training, appealing for cold-start deployment. Preliminary results confirm a known caveat: leaderboard reputation does not transfer automatically. On foggy night CCTV, larger CLIP and SigLIP variants collapsed, while a data-richer OpenCLIP of identical architecture was markedly better — evidence that </w:t>
      </w:r>
      <w:r>
        <w:rPr>
          <w:rFonts w:ascii="Georgia" w:cs="Georgia" w:eastAsia="Georgia" w:hAnsi="Georgia"/>
          <w:b/>
          <w:bCs/>
          <w:color w:val="1B2430"/>
          <w:sz w:val="21"/>
          <w:szCs w:val="21"/>
        </w:rPr>
        <w:t xml:space="preserve">training data, not model size, drives zero-shot transfer here</w:t>
      </w:r>
      <w:r>
        <w:rPr>
          <w:rFonts w:ascii="Georgia" w:cs="Georgia" w:eastAsia="Georgia" w:hAnsi="Georgia"/>
          <w:color w:val="1B2430"/>
          <w:sz w:val="21"/>
          <w:szCs w:val="21"/>
        </w:rPr>
        <w:t xml:space="preserve">.</w:t>
      </w:r>
    </w:p>
    <w:p>
      <w:pPr>
        <w:pStyle w:val="Heading2"/>
        <w:spacing w:after="90" w:before="240"/>
      </w:pPr>
      <w:r>
        <w:rPr>
          <w:rFonts w:ascii="Calibri" w:cs="Calibri" w:eastAsia="Calibri" w:hAnsi="Calibri"/>
          <w:b/>
          <w:bCs/>
          <w:color w:val="8A4FBE"/>
          <w:sz w:val="25"/>
          <w:szCs w:val="25"/>
        </w:rPr>
        <w:t xml:space="preserve">2.3  Frozen Backbones with Lightweight Heads (Linear Probing)</w:t>
      </w:r>
    </w:p>
    <w:p>
      <w:pPr>
        <w:spacing w:after="130" w:line="276"/>
        <w:jc w:val="both"/>
      </w:pPr>
      <w:r>
        <w:rPr>
          <w:rFonts w:ascii="Georgia" w:cs="Georgia" w:eastAsia="Georgia" w:hAnsi="Georgia"/>
          <w:color w:val="1B2430"/>
          <w:sz w:val="21"/>
          <w:szCs w:val="21"/>
        </w:rPr>
        <w:t xml:space="preserve">Freezing a pretrained backbone and training only a small head is a strong, data-efficient baseline: trains in seconds, needs no GPU, avoids catastrophic forgetting, and lets one cached feature extractor serve many tasks. Self-supervised backbones (DINOv2) give features robust to lighting and weather; supervised ViTs and efficient CNNs (ConvNeXtV2) trade robustness for speed and size. This family is the system's foundation.</w:t>
      </w:r>
    </w:p>
    <w:p>
      <w:pPr>
        <w:pStyle w:val="Heading2"/>
        <w:spacing w:after="90" w:before="240"/>
      </w:pPr>
      <w:r>
        <w:rPr>
          <w:rFonts w:ascii="Calibri" w:cs="Calibri" w:eastAsia="Calibri" w:hAnsi="Calibri"/>
          <w:b/>
          <w:bCs/>
          <w:color w:val="8A4FBE"/>
          <w:sz w:val="25"/>
          <w:szCs w:val="25"/>
        </w:rPr>
        <w:t xml:space="preserve">2.4  Object Detection as an Ambiguity Resolver</w:t>
      </w:r>
    </w:p>
    <w:p>
      <w:pPr>
        <w:spacing w:after="130" w:line="276"/>
        <w:jc w:val="both"/>
      </w:pPr>
      <w:r>
        <w:rPr>
          <w:rFonts w:ascii="Georgia" w:cs="Georgia" w:eastAsia="Georgia" w:hAnsi="Georgia"/>
          <w:color w:val="1B2430"/>
          <w:sz w:val="21"/>
          <w:szCs w:val="21"/>
        </w:rPr>
        <w:t xml:space="preserve">Real-time detectors (YOLO family, RT-DETR, open-vocabulary YOLO-World) count people and detect attributes such as hi-vis vests or mowers. They are poor primary occupancy classifiers — needing brittle rules to separate "football" from "yoga" — but ideal as a second tier invoked only on uncertain frames. The thesis uses a detector strictly in this fallback role.</w:t>
      </w:r>
    </w:p>
    <w:p>
      <w:pPr>
        <w:pStyle w:val="Heading2"/>
        <w:spacing w:after="90" w:before="240"/>
      </w:pPr>
      <w:r>
        <w:rPr>
          <w:rFonts w:ascii="Calibri" w:cs="Calibri" w:eastAsia="Calibri" w:hAnsi="Calibri"/>
          <w:b/>
          <w:bCs/>
          <w:color w:val="8A4FBE"/>
          <w:sz w:val="25"/>
          <w:szCs w:val="25"/>
        </w:rPr>
        <w:t xml:space="preserve">2.5  Learned Temporal, Fusion, Distillation &amp; Multimodal Methods</w:t>
      </w:r>
    </w:p>
    <w:p>
      <w:pPr>
        <w:spacing w:after="130" w:line="276"/>
        <w:jc w:val="both"/>
      </w:pPr>
      <w:r>
        <w:rPr>
          <w:rFonts w:ascii="Georgia" w:cs="Georgia" w:eastAsia="Georgia" w:hAnsi="Georgia"/>
          <w:color w:val="1B2430"/>
          <w:sz w:val="21"/>
          <w:szCs w:val="21"/>
        </w:rPr>
        <w:t xml:space="preserve">Temporal sequence models (temporal convolutional networks, lightweight Transformer encoders) aggregate frame-level evidence into segment-level decisions and typically beat fixed heuristics. Multi-view and multi-backbone fusion combine complementary streams; mixture-of-experts and input-conditioned gating allocate computation adaptively. Knowledge distillation transfers a large teacher's accuracy into a small edge student. Multimodal fusion augments vision with structured context. Each technique is individually mature but rarely combined under a strict CPU-only, low-bandwidth occupancy-auditing setting — the space this thesis's novel components (Chapter 4) occupy.</w:t>
      </w:r>
    </w:p>
    <w:p>
      <w:pPr>
        <w:pStyle w:val="Heading2"/>
        <w:spacing w:after="90" w:before="240"/>
      </w:pPr>
      <w:r>
        <w:rPr>
          <w:rFonts w:ascii="Calibri" w:cs="Calibri" w:eastAsia="Calibri" w:hAnsi="Calibri"/>
          <w:b/>
          <w:bCs/>
          <w:color w:val="8A4FBE"/>
          <w:sz w:val="25"/>
          <w:szCs w:val="25"/>
        </w:rPr>
        <w:t xml:space="preserve">2.6  Edge and CPU-Efficient Inference</w:t>
      </w:r>
    </w:p>
    <w:p>
      <w:pPr>
        <w:spacing w:after="130" w:line="276"/>
        <w:jc w:val="both"/>
      </w:pPr>
      <w:r>
        <w:rPr>
          <w:rFonts w:ascii="Georgia" w:cs="Georgia" w:eastAsia="Georgia" w:hAnsi="Georgia"/>
          <w:color w:val="1B2430"/>
          <w:sz w:val="21"/>
          <w:szCs w:val="21"/>
        </w:rPr>
        <w:t xml:space="preserve">CPU-only edge deployment motivates compression, quantisation, and runtime optimisation (e.g. OpenVINO on Intel hardware). Latency matters when one machine multiplexes 20–30 feeds plus a fallback detector, so the thesis treats per-frame latency and memory as first-class selection criteria alongside accuracy.</w:t>
      </w:r>
    </w:p>
    <w:p>
      <w:pPr>
        <w:pStyle w:val="Heading2"/>
        <w:spacing w:after="90" w:before="240"/>
      </w:pPr>
      <w:r>
        <w:rPr>
          <w:rFonts w:ascii="Calibri" w:cs="Calibri" w:eastAsia="Calibri" w:hAnsi="Calibri"/>
          <w:b/>
          <w:bCs/>
          <w:color w:val="8A4FBE"/>
          <w:sz w:val="25"/>
          <w:szCs w:val="25"/>
        </w:rPr>
        <w:t xml:space="preserve">2.7  Research Gap</w:t>
      </w:r>
    </w:p>
    <w:p>
      <w:pPr>
        <w:spacing w:after="130" w:line="276"/>
        <w:jc w:val="both"/>
      </w:pPr>
      <w:r>
        <w:rPr>
          <w:rFonts w:ascii="Georgia" w:cs="Georgia" w:eastAsia="Georgia" w:hAnsi="Georgia"/>
          <w:color w:val="1B2430"/>
          <w:sz w:val="21"/>
          <w:szCs w:val="21"/>
        </w:rPr>
        <w:t xml:space="preserve">Prior work rarely combines sparse-sampling occupancy classification, a fair CPU-only benchmark of modern frozen backbones under adverse conditions with leakage-free multi-venue evaluation, purpose-built learned aggregation/fusion architectures for the edge, and an operational reconciliation layer that audits human records against machine perception. This intersection is the thesis's contribution.</w:t>
      </w:r>
    </w:p>
    <w:p>
      <w:pPr>
        <w:pStyle w:val="Heading1"/>
        <w:pageBreakBefore/>
        <w:spacing w:after="140" w:before="0"/>
      </w:pPr>
      <w:r>
        <w:rPr>
          <w:rFonts w:ascii="Calibri" w:cs="Calibri" w:eastAsia="Calibri" w:hAnsi="Calibri"/>
          <w:b/>
          <w:bCs/>
          <w:color w:val="5B3E8E"/>
          <w:sz w:val="30"/>
          <w:szCs w:val="30"/>
        </w:rPr>
        <w:t xml:space="preserve">3.  Methodology</w:t>
      </w:r>
    </w:p>
    <w:p>
      <w:pPr>
        <w:spacing w:after="130" w:line="276"/>
        <w:jc w:val="both"/>
      </w:pPr>
      <w:r>
        <w:rPr>
          <w:rFonts w:ascii="Georgia" w:cs="Georgia" w:eastAsia="Georgia" w:hAnsi="Georgia"/>
          <w:color w:val="1B2430"/>
          <w:sz w:val="21"/>
          <w:szCs w:val="21"/>
        </w:rPr>
        <w:t xml:space="preserve">This chapter defines the end-to-end method, mapped onto the six-step workflow already piloted (extract → label → split → fit → evaluate → prove) and hardened for thesis-grade rigour.</w:t>
      </w:r>
    </w:p>
    <w:p>
      <w:pPr>
        <w:pStyle w:val="Heading2"/>
        <w:spacing w:after="90" w:before="240"/>
      </w:pPr>
      <w:r>
        <w:rPr>
          <w:rFonts w:ascii="Calibri" w:cs="Calibri" w:eastAsia="Calibri" w:hAnsi="Calibri"/>
          <w:b/>
          <w:bCs/>
          <w:color w:val="8A4FBE"/>
          <w:sz w:val="25"/>
          <w:szCs w:val="25"/>
        </w:rPr>
        <w:t xml:space="preserve">3.1  Overall Research Design</w:t>
      </w:r>
    </w:p>
    <w:p>
      <w:pPr>
        <w:spacing w:after="130" w:line="276"/>
        <w:jc w:val="both"/>
      </w:pPr>
      <w:r>
        <w:rPr>
          <w:rFonts w:ascii="Georgia" w:cs="Georgia" w:eastAsia="Georgia" w:hAnsi="Georgia"/>
          <w:color w:val="1B2430"/>
          <w:sz w:val="21"/>
          <w:szCs w:val="21"/>
        </w:rPr>
        <w:t xml:space="preserve">The design is a quantitative, experimental comparison. Independent variables are model choice and the training/evaluation protocol; dependent variables are per-frame accuracy, per-class F1, macro-F1, latency, memory, and slot-level decision quality. Controlled ablations isolate preprocessing choices (ROI masking, low-light enhancement) and split strategy (same-scene vs. leakage-free). Every experiment is seed-controlled and version-tracked.</w:t>
      </w:r>
    </w:p>
    <w:p>
      <w:pPr>
        <w:pStyle w:val="Heading2"/>
        <w:spacing w:after="90" w:before="240"/>
      </w:pPr>
      <w:r>
        <w:rPr>
          <w:rFonts w:ascii="Calibri" w:cs="Calibri" w:eastAsia="Calibri" w:hAnsi="Calibri"/>
          <w:b/>
          <w:bCs/>
          <w:color w:val="8A4FBE"/>
          <w:sz w:val="25"/>
          <w:szCs w:val="25"/>
        </w:rPr>
        <w:t xml:space="preserve">3.2  Class Taxonomy</w:t>
      </w:r>
    </w:p>
    <w:p>
      <w:pPr>
        <w:spacing w:after="130" w:line="276"/>
        <w:jc w:val="both"/>
      </w:pPr>
      <w:r>
        <w:rPr>
          <w:rFonts w:ascii="Georgia" w:cs="Georgia" w:eastAsia="Georgia" w:hAnsi="Georgia"/>
          <w:color w:val="1B2430"/>
          <w:sz w:val="21"/>
          <w:szCs w:val="21"/>
        </w:rPr>
        <w:t xml:space="preserve">The pilot used three folders (empty / playing / people-not-playing). The thesis consolidates to three operational classes mapping onto the slot decision:</w:t>
      </w:r>
    </w:p>
    <w:tbl>
      <w:tblPr>
        <w:tblW w:type="dxa" w:w="9700"/>
        <w:tblBorders>
          <w:top w:val="single" w:color="C9BFDD" w:sz="4"/>
          <w:left w:val="single" w:color="C9BFDD" w:sz="4"/>
          <w:bottom w:val="single" w:color="C9BFDD" w:sz="4"/>
          <w:right w:val="single" w:color="C9BFDD" w:sz="4"/>
          <w:insideH w:val="single" w:color="C9BFDD" w:sz="4"/>
          <w:insideV w:val="single" w:color="C9BFDD" w:sz="4"/>
        </w:tblBorders>
      </w:tblPr>
      <w:tblGrid>
        <w:gridCol w:w="1900"/>
        <w:gridCol w:w="2300"/>
        <w:gridCol w:w="3500"/>
        <w:gridCol w:w="2000"/>
      </w:tblGrid>
      <w:tr>
        <w:trPr>
          <w:tblHeader/>
        </w:trPr>
        <w:tc>
          <w:tcPr>
            <w:tcW w:type="dxa" w:w="19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Class</w:t>
            </w:r>
          </w:p>
        </w:tc>
        <w:tc>
          <w:tcPr>
            <w:tcW w:type="dxa" w:w="23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Definition</w:t>
            </w:r>
          </w:p>
        </w:tc>
        <w:tc>
          <w:tcPr>
            <w:tcW w:type="dxa" w:w="35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Representative visual cues</w:t>
            </w:r>
          </w:p>
        </w:tc>
        <w:tc>
          <w:tcPr>
            <w:tcW w:type="dxa" w:w="20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Maps to slot decision</w:t>
            </w:r>
          </w:p>
        </w:tc>
      </w:tr>
      <w:tr>
        <w:tc>
          <w:tcPr>
            <w:tcW w:type="dxa" w:w="19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C1 — EMPTY</w:t>
            </w:r>
          </w:p>
        </w:tc>
        <w:tc>
          <w:tcPr>
            <w:tcW w:type="dxa" w:w="23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Clear pitch, no active use</w:t>
            </w:r>
          </w:p>
        </w:tc>
        <w:tc>
          <w:tcPr>
            <w:tcW w:type="dxa" w:w="35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Clear turf; daylight, floodlit night, fog or dim light; post-game litter with no people</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Contributes to NOTUSED</w:t>
            </w:r>
          </w:p>
        </w:tc>
      </w:tr>
      <w:tr>
        <w:tc>
          <w:tcPr>
            <w:tcW w:type="dxa" w:w="19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C2 — ACTIVE PLAY</w:t>
            </w:r>
          </w:p>
        </w:tc>
        <w:tc>
          <w:tcPr>
            <w:tcW w:type="dxa" w:w="23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Pitch in football use</w:t>
            </w:r>
          </w:p>
        </w:tc>
        <w:tc>
          <w:tcPr>
            <w:tcW w:type="dxa" w:w="35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5-a-side match; warm-ups/drills; players in bibs/kits; ball in frame</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Contributes to USED</w:t>
            </w:r>
          </w:p>
        </w:tc>
      </w:tr>
      <w:tr>
        <w:tc>
          <w:tcPr>
            <w:tcW w:type="dxa" w:w="19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C3 — MAINTENANCE / NON-SPORTING</w:t>
            </w:r>
          </w:p>
        </w:tc>
        <w:tc>
          <w:tcPr>
            <w:tcW w:type="dxa" w:w="23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Occupied but not football</w:t>
            </w:r>
          </w:p>
        </w:tc>
        <w:tc>
          <w:tcPr>
            <w:tcW w:type="dxa" w:w="35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Staff in hi-vis vests; mowers, line-painting machinery; non-football events</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Contributes to NOTUSED / REVIEW</w:t>
            </w:r>
          </w:p>
        </w:tc>
      </w:tr>
    </w:tbl>
    <w:p>
      <w:pPr>
        <w:spacing w:after="130" w:line="276"/>
        <w:jc w:val="both"/>
      </w:pPr>
      <w:r>
        <w:rPr>
          <w:rFonts w:ascii="Georgia" w:cs="Georgia" w:eastAsia="Georgia" w:hAnsi="Georgia"/>
          <w:i/>
          <w:iCs/>
          <w:color w:val="1B2430"/>
          <w:sz w:val="21"/>
          <w:szCs w:val="21"/>
        </w:rPr>
        <w:t xml:space="preserve">This class was weakest in the pilot: the held-out set held only 6 samples of one minority class and 0 of another, so macro-F1 sat near 0.66 despite 98–99% accuracy. Fixing this imbalance is a primary data-collection objective.</w:t>
      </w:r>
    </w:p>
    <w:p>
      <w:pPr>
        <w:pStyle w:val="Heading2"/>
        <w:spacing w:after="90" w:before="240"/>
      </w:pPr>
      <w:r>
        <w:rPr>
          <w:rFonts w:ascii="Calibri" w:cs="Calibri" w:eastAsia="Calibri" w:hAnsi="Calibri"/>
          <w:b/>
          <w:bCs/>
          <w:color w:val="8A4FBE"/>
          <w:sz w:val="25"/>
          <w:szCs w:val="25"/>
        </w:rPr>
        <w:t xml:space="preserve">3.3  Data-Collection Strategy</w:t>
      </w:r>
    </w:p>
    <w:p>
      <w:pPr>
        <w:spacing w:after="130" w:line="276"/>
        <w:jc w:val="both"/>
      </w:pPr>
      <w:r>
        <w:rPr>
          <w:rFonts w:ascii="Georgia" w:cs="Georgia" w:eastAsia="Georgia" w:hAnsi="Georgia"/>
          <w:color w:val="1B2430"/>
          <w:sz w:val="21"/>
          <w:szCs w:val="21"/>
        </w:rPr>
        <w:t xml:space="preserve">The highest-value action identified in the pilot is collecting more and more varied footage. Collection is structured along five axes to support both robustness and a leakage-free evaluation.</w:t>
      </w:r>
    </w:p>
    <w:p>
      <w:pPr>
        <w:pStyle w:val="Heading3"/>
        <w:spacing w:after="70" w:before="170"/>
      </w:pPr>
      <w:r>
        <w:rPr>
          <w:rFonts w:ascii="Calibri" w:cs="Calibri" w:eastAsia="Calibri" w:hAnsi="Calibri"/>
          <w:b/>
          <w:bCs/>
          <w:color w:val="1B2430"/>
          <w:sz w:val="22"/>
          <w:szCs w:val="22"/>
        </w:rPr>
        <w:t xml:space="preserve">3.3.1  Two-dimensional coverage: across venues and within a venue</w:t>
      </w:r>
    </w:p>
    <w:p>
      <w:pPr>
        <w:pStyle w:val="ListParagraph"/>
        <w:numPr>
          <w:ilvl w:val="0"/>
          <w:numId w:val="3"/>
        </w:numPr>
        <w:spacing w:after="60" w:line="270"/>
        <w:jc w:val="left"/>
      </w:pPr>
      <w:r>
        <w:rPr>
          <w:rFonts w:ascii="Georgia" w:cs="Georgia" w:eastAsia="Georgia" w:hAnsi="Georgia"/>
          <w:b/>
          <w:bCs/>
          <w:color w:val="1B2430"/>
          <w:sz w:val="21"/>
          <w:szCs w:val="21"/>
        </w:rPr>
        <w:t xml:space="preserve">Across different playgrounds (between-venue diversity): </w:t>
      </w:r>
      <w:r>
        <w:rPr>
          <w:rFonts w:ascii="Georgia" w:cs="Georgia" w:eastAsia="Georgia" w:hAnsi="Georgia"/>
          <w:color w:val="1B2430"/>
          <w:sz w:val="21"/>
          <w:szCs w:val="21"/>
        </w:rPr>
        <w:t xml:space="preserve">footage from several facilities/pitches so the model learns venue-invariant cues, enabling the leave-one-venue-out test.</w:t>
      </w:r>
    </w:p>
    <w:p>
      <w:pPr>
        <w:pStyle w:val="ListParagraph"/>
        <w:numPr>
          <w:ilvl w:val="0"/>
          <w:numId w:val="3"/>
        </w:numPr>
        <w:spacing w:after="60" w:line="270"/>
        <w:jc w:val="left"/>
      </w:pPr>
      <w:r>
        <w:rPr>
          <w:rFonts w:ascii="Georgia" w:cs="Georgia" w:eastAsia="Georgia" w:hAnsi="Georgia"/>
          <w:b/>
          <w:bCs/>
          <w:color w:val="1B2430"/>
          <w:sz w:val="21"/>
          <w:szCs w:val="21"/>
        </w:rPr>
        <w:t xml:space="preserve">Within the same playground (within-venue state diversity): </w:t>
      </w:r>
      <w:r>
        <w:rPr>
          <w:rFonts w:ascii="Georgia" w:cs="Georgia" w:eastAsia="Georgia" w:hAnsi="Georgia"/>
          <w:color w:val="1B2430"/>
          <w:sz w:val="21"/>
          <w:szCs w:val="21"/>
        </w:rPr>
        <w:t xml:space="preserve">for each pitch, capture every class under many conditions — the same camera seeing empty, active, and maintenance across day, night, fog and rain — so state is separated from scene.</w:t>
      </w:r>
    </w:p>
    <w:p>
      <w:pPr>
        <w:pStyle w:val="Heading3"/>
        <w:spacing w:after="70" w:before="170"/>
      </w:pPr>
      <w:r>
        <w:rPr>
          <w:rFonts w:ascii="Calibri" w:cs="Calibri" w:eastAsia="Calibri" w:hAnsi="Calibri"/>
          <w:b/>
          <w:bCs/>
          <w:color w:val="1B2430"/>
          <w:sz w:val="22"/>
          <w:szCs w:val="22"/>
        </w:rPr>
        <w:t xml:space="preserve">3.3.2  Collection matrix (five axes)</w:t>
      </w:r>
    </w:p>
    <w:tbl>
      <w:tblPr>
        <w:tblW w:type="dxa" w:w="9700"/>
        <w:tblBorders>
          <w:top w:val="single" w:color="C9BFDD" w:sz="4"/>
          <w:left w:val="single" w:color="C9BFDD" w:sz="4"/>
          <w:bottom w:val="single" w:color="C9BFDD" w:sz="4"/>
          <w:right w:val="single" w:color="C9BFDD" w:sz="4"/>
          <w:insideH w:val="single" w:color="C9BFDD" w:sz="4"/>
          <w:insideV w:val="single" w:color="C9BFDD" w:sz="4"/>
        </w:tblBorders>
      </w:tblPr>
      <w:tblGrid>
        <w:gridCol w:w="1700"/>
        <w:gridCol w:w="4100"/>
        <w:gridCol w:w="3900"/>
      </w:tblGrid>
      <w:tr>
        <w:trPr>
          <w:tblHeader/>
        </w:trPr>
        <w:tc>
          <w:tcPr>
            <w:tcW w:type="dxa" w:w="17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Axis</w:t>
            </w:r>
          </w:p>
        </w:tc>
        <w:tc>
          <w:tcPr>
            <w:tcW w:type="dxa" w:w="41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Levels to collect</w:t>
            </w:r>
          </w:p>
        </w:tc>
        <w:tc>
          <w:tcPr>
            <w:tcW w:type="dxa" w:w="39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Why it matters</w:t>
            </w:r>
          </w:p>
        </w:tc>
      </w:tr>
      <w:tr>
        <w:tc>
          <w:tcPr>
            <w:tcW w:type="dxa" w:w="17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Venue</w:t>
            </w:r>
          </w:p>
        </w:tc>
        <w:tc>
          <w:tcPr>
            <w:tcW w:type="dxa" w:w="41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 3–5 distinct pitches (different layouts, angles, backgrounds)</w:t>
            </w:r>
          </w:p>
        </w:tc>
        <w:tc>
          <w:tcPr>
            <w:tcW w:type="dxa" w:w="39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Prevents scene memorisation; enables cross-venue evaluation</w:t>
            </w:r>
          </w:p>
        </w:tc>
      </w:tr>
      <w:tr>
        <w:tc>
          <w:tcPr>
            <w:tcW w:type="dxa" w:w="17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Occupancy state</w:t>
            </w:r>
          </w:p>
        </w:tc>
        <w:tc>
          <w:tcPr>
            <w:tcW w:type="dxa" w:w="41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Empty; full match; warm-up / few players; maintenance; non-football event</w:t>
            </w:r>
          </w:p>
        </w:tc>
        <w:tc>
          <w:tcPr>
            <w:tcW w:type="dxa" w:w="39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Balances the three classes and hard sub-cases</w:t>
            </w:r>
          </w:p>
        </w:tc>
      </w:tr>
      <w:tr>
        <w:tc>
          <w:tcPr>
            <w:tcW w:type="dxa" w:w="17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Lighting</w:t>
            </w:r>
          </w:p>
        </w:tc>
        <w:tc>
          <w:tcPr>
            <w:tcW w:type="dxa" w:w="41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Daylight; dusk/dawn; night floodlight; dim/off-hours</w:t>
            </w:r>
          </w:p>
        </w:tc>
        <w:tc>
          <w:tcPr>
            <w:tcW w:type="dxa" w:w="39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Robustness to illumination; night is a known failure mode</w:t>
            </w:r>
          </w:p>
        </w:tc>
      </w:tr>
      <w:tr>
        <w:tc>
          <w:tcPr>
            <w:tcW w:type="dxa" w:w="17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Weather</w:t>
            </w:r>
          </w:p>
        </w:tc>
        <w:tc>
          <w:tcPr>
            <w:tcW w:type="dxa" w:w="41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Clear; fog/mist; rain; glare</w:t>
            </w:r>
          </w:p>
        </w:tc>
        <w:tc>
          <w:tcPr>
            <w:tcW w:type="dxa" w:w="39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Directly targets the fog false-positive risk</w:t>
            </w:r>
          </w:p>
        </w:tc>
      </w:tr>
      <w:tr>
        <w:tc>
          <w:tcPr>
            <w:tcW w:type="dxa" w:w="17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Temporal</w:t>
            </w:r>
          </w:p>
        </w:tc>
        <w:tc>
          <w:tcPr>
            <w:tcW w:type="dxa" w:w="41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Multiple days/weeks; different slot times; seasonal spread</w:t>
            </w:r>
          </w:p>
        </w:tc>
        <w:tc>
          <w:tcPr>
            <w:tcW w:type="dxa" w:w="39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Avoids time-of-day/seasonal bias; supports grouped splits</w:t>
            </w:r>
          </w:p>
        </w:tc>
      </w:tr>
    </w:tbl>
    <w:p>
      <w:pPr>
        <w:pStyle w:val="Heading3"/>
        <w:spacing w:after="70" w:before="170"/>
      </w:pPr>
      <w:r>
        <w:rPr>
          <w:rFonts w:ascii="Calibri" w:cs="Calibri" w:eastAsia="Calibri" w:hAnsi="Calibri"/>
          <w:b/>
          <w:bCs/>
          <w:color w:val="1B2430"/>
          <w:sz w:val="22"/>
          <w:szCs w:val="22"/>
        </w:rPr>
        <w:t xml:space="preserve">3.3.3  Target volumes and balancing</w:t>
      </w:r>
    </w:p>
    <w:p>
      <w:pPr>
        <w:spacing w:after="130" w:line="276"/>
        <w:jc w:val="both"/>
      </w:pPr>
      <w:r>
        <w:rPr>
          <w:rFonts w:ascii="Georgia" w:cs="Georgia" w:eastAsia="Georgia" w:hAnsi="Georgia"/>
          <w:color w:val="1B2430"/>
          <w:sz w:val="21"/>
          <w:szCs w:val="21"/>
        </w:rPr>
        <w:t xml:space="preserve">As a working target, each class should reach several hundred to a few thousand labelled frames, with the minority maintenance/non-sporting class explicitly boosted. Frames are drawn from many distinct (venue × day × slot) groups so no single scene dominates, and a per-class, per-condition tally keeps gaps (e.g. "maintenance in fog") visible.</w:t>
      </w:r>
    </w:p>
    <w:p>
      <w:pPr>
        <w:pStyle w:val="Heading3"/>
        <w:spacing w:after="70" w:before="170"/>
      </w:pPr>
      <w:r>
        <w:rPr>
          <w:rFonts w:ascii="Calibri" w:cs="Calibri" w:eastAsia="Calibri" w:hAnsi="Calibri"/>
          <w:b/>
          <w:bCs/>
          <w:color w:val="1B2430"/>
          <w:sz w:val="22"/>
          <w:szCs w:val="22"/>
        </w:rPr>
        <w:t xml:space="preserve">3.3.4  Frame extraction</w:t>
      </w:r>
    </w:p>
    <w:p>
      <w:pPr>
        <w:spacing w:after="130" w:line="276"/>
        <w:jc w:val="both"/>
      </w:pPr>
      <w:r>
        <w:rPr>
          <w:rFonts w:ascii="Georgia" w:cs="Georgia" w:eastAsia="Georgia" w:hAnsi="Georgia"/>
          <w:color w:val="1B2430"/>
          <w:sz w:val="21"/>
          <w:szCs w:val="21"/>
        </w:rPr>
        <w:t xml:space="preserve">Frames are extracted with OpenCV using a fixed cadence (one frame every 10–15 s) plus motion-triggered capture via background subtraction to over-sample dynamic poses. The pilot produced 1,296 frames this way; the thesis scales this across venues. A YOLO person-detector pre-screens large batches to surface rare frames worth manual attention.</w:t>
      </w:r>
    </w:p>
    <w:p>
      <w:pPr>
        <w:pStyle w:val="Heading2"/>
        <w:spacing w:after="90" w:before="240"/>
      </w:pPr>
      <w:r>
        <w:rPr>
          <w:rFonts w:ascii="Calibri" w:cs="Calibri" w:eastAsia="Calibri" w:hAnsi="Calibri"/>
          <w:b/>
          <w:bCs/>
          <w:color w:val="8A4FBE"/>
          <w:sz w:val="25"/>
          <w:szCs w:val="25"/>
        </w:rPr>
        <w:t xml:space="preserve">3.4  Labelling and Quality Control</w:t>
      </w:r>
    </w:p>
    <w:p>
      <w:pPr>
        <w:spacing w:after="130" w:line="276"/>
        <w:jc w:val="both"/>
      </w:pPr>
      <w:r>
        <w:rPr>
          <w:rFonts w:ascii="Georgia" w:cs="Georgia" w:eastAsia="Georgia" w:hAnsi="Georgia"/>
          <w:color w:val="1B2430"/>
          <w:sz w:val="21"/>
          <w:szCs w:val="21"/>
        </w:rPr>
        <w:t xml:space="preserve">Labelling combines a keyboard-driven manual tool, contact-sheet review with full-size inspection of unclear frames, and detector-assisted pre-screening (every flagged frame confirmed by eye). A subset is double-labelled and inter-annotator agreement (Cohen's κ) is reported. All labels and provenance (venue, camera, timestamp, slot) are stored in a manifest driving reproducible splits.</w:t>
      </w:r>
    </w:p>
    <w:p>
      <w:pPr>
        <w:pStyle w:val="Heading2"/>
        <w:spacing w:after="90" w:before="240"/>
      </w:pPr>
      <w:r>
        <w:rPr>
          <w:rFonts w:ascii="Calibri" w:cs="Calibri" w:eastAsia="Calibri" w:hAnsi="Calibri"/>
          <w:b/>
          <w:bCs/>
          <w:color w:val="8A4FBE"/>
          <w:sz w:val="25"/>
          <w:szCs w:val="25"/>
        </w:rPr>
        <w:t xml:space="preserve">3.5  Preprocessing Pipeline</w:t>
      </w:r>
    </w:p>
    <w:p>
      <w:pPr>
        <w:spacing w:after="130" w:line="276"/>
        <w:jc w:val="both"/>
      </w:pPr>
      <w:r>
        <w:rPr>
          <w:rFonts w:ascii="Georgia" w:cs="Georgia" w:eastAsia="Georgia" w:hAnsi="Georgia"/>
          <w:color w:val="1B2430"/>
          <w:sz w:val="21"/>
          <w:szCs w:val="21"/>
        </w:rPr>
        <w:t xml:space="preserve">Preprocessing is a first-class research variable, ablated to quantify its contribution, and applied consistently at train and inference time:</w:t>
      </w:r>
    </w:p>
    <w:tbl>
      <w:tblPr>
        <w:tblW w:type="dxa" w:w="9700"/>
        <w:tblBorders>
          <w:top w:val="single" w:color="C9BFDD" w:sz="4"/>
          <w:left w:val="single" w:color="C9BFDD" w:sz="4"/>
          <w:bottom w:val="single" w:color="C9BFDD" w:sz="4"/>
          <w:right w:val="single" w:color="C9BFDD" w:sz="4"/>
          <w:insideH w:val="single" w:color="C9BFDD" w:sz="4"/>
          <w:insideV w:val="single" w:color="C9BFDD" w:sz="4"/>
        </w:tblBorders>
      </w:tblPr>
      <w:tblGrid>
        <w:gridCol w:w="2500"/>
        <w:gridCol w:w="4000"/>
        <w:gridCol w:w="3200"/>
      </w:tblGrid>
      <w:tr>
        <w:trPr>
          <w:tblHeader/>
        </w:trPr>
        <w:tc>
          <w:tcPr>
            <w:tcW w:type="dxa" w:w="25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Stage</w:t>
            </w:r>
          </w:p>
        </w:tc>
        <w:tc>
          <w:tcPr>
            <w:tcW w:type="dxa" w:w="40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Operation</w:t>
            </w:r>
          </w:p>
        </w:tc>
        <w:tc>
          <w:tcPr>
            <w:tcW w:type="dxa" w:w="32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Purpose</w:t>
            </w:r>
          </w:p>
        </w:tc>
      </w:tr>
      <w:tr>
        <w:tc>
          <w:tcPr>
            <w:tcW w:type="dxa" w:w="25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1. ROI masking</w:t>
            </w:r>
          </w:p>
        </w:tc>
        <w:tc>
          <w:tcPr>
            <w:tcW w:type="dxa" w:w="4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Crop/mask to a per-camera pitch polygon; zero out sky, stands, adjacent pitches</w:t>
            </w:r>
          </w:p>
        </w:tc>
        <w:tc>
          <w:tcPr>
            <w:tcW w:type="dxa" w:w="32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Removes distractors; cuts false triggers</w:t>
            </w:r>
          </w:p>
        </w:tc>
      </w:tr>
      <w:tr>
        <w:tc>
          <w:tcPr>
            <w:tcW w:type="dxa" w:w="25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2. Geometric norm.</w:t>
            </w:r>
          </w:p>
        </w:tc>
        <w:tc>
          <w:tcPr>
            <w:tcW w:type="dxa" w:w="4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Letterbox-resize to 224×224 preserving aspect ratio</w:t>
            </w:r>
          </w:p>
        </w:tc>
        <w:tc>
          <w:tcPr>
            <w:tcW w:type="dxa" w:w="32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Matches backbone input without distortion</w:t>
            </w:r>
          </w:p>
        </w:tc>
      </w:tr>
      <w:tr>
        <w:tc>
          <w:tcPr>
            <w:tcW w:type="dxa" w:w="25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3. Photometric norm.</w:t>
            </w:r>
          </w:p>
        </w:tc>
        <w:tc>
          <w:tcPr>
            <w:tcW w:type="dxa" w:w="4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Model-specific mean/std (ImageNet for ViT/DINOv2/ConvNeXt; CLIP stats for OpenCLIP)</w:t>
            </w:r>
          </w:p>
        </w:tc>
        <w:tc>
          <w:tcPr>
            <w:tcW w:type="dxa" w:w="32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Wrong stats silently degrade accuracy</w:t>
            </w:r>
          </w:p>
        </w:tc>
      </w:tr>
      <w:tr>
        <w:tc>
          <w:tcPr>
            <w:tcW w:type="dxa" w:w="25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4. Low-light / fog branch</w:t>
            </w:r>
          </w:p>
        </w:tc>
        <w:tc>
          <w:tcPr>
            <w:tcW w:type="dxa" w:w="4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Optional CLAHE / gamma; measure frame contrast</w:t>
            </w:r>
          </w:p>
        </w:tc>
        <w:tc>
          <w:tcPr>
            <w:tcW w:type="dxa" w:w="32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Improves night/fog separability; low contrast can gate to REVIEW</w:t>
            </w:r>
          </w:p>
        </w:tc>
      </w:tr>
      <w:tr>
        <w:tc>
          <w:tcPr>
            <w:tcW w:type="dxa" w:w="25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5. De-duplication</w:t>
            </w:r>
          </w:p>
        </w:tc>
        <w:tc>
          <w:tcPr>
            <w:tcW w:type="dxa" w:w="4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Perceptual-hash near-duplicate removal</w:t>
            </w:r>
          </w:p>
        </w:tc>
        <w:tc>
          <w:tcPr>
            <w:tcW w:type="dxa" w:w="32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Prevents leakage and over-counting of static scenes</w:t>
            </w:r>
          </w:p>
        </w:tc>
      </w:tr>
      <w:tr>
        <w:tc>
          <w:tcPr>
            <w:tcW w:type="dxa" w:w="25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6. Quality filter</w:t>
            </w:r>
          </w:p>
        </w:tc>
        <w:tc>
          <w:tcPr>
            <w:tcW w:type="dxa" w:w="4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Reject corrupt/overexposed/occluded frames; detect lens dirt/glare</w:t>
            </w:r>
          </w:p>
        </w:tc>
        <w:tc>
          <w:tcPr>
            <w:tcW w:type="dxa" w:w="32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Feeds a "camera needs cleaning" alert</w:t>
            </w:r>
          </w:p>
        </w:tc>
      </w:tr>
      <w:tr>
        <w:tc>
          <w:tcPr>
            <w:tcW w:type="dxa" w:w="25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7. Feature caching</w:t>
            </w:r>
          </w:p>
        </w:tc>
        <w:tc>
          <w:tcPr>
            <w:tcW w:type="dxa" w:w="4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Precompute and cache frozen-backbone embeddings</w:t>
            </w:r>
          </w:p>
        </w:tc>
        <w:tc>
          <w:tcPr>
            <w:tcW w:type="dxa" w:w="32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Heads train in seconds on cached vectors</w:t>
            </w:r>
          </w:p>
        </w:tc>
      </w:tr>
      <w:tr>
        <w:tc>
          <w:tcPr>
            <w:tcW w:type="dxa" w:w="25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8. Augmentation (train)</w:t>
            </w:r>
          </w:p>
        </w:tc>
        <w:tc>
          <w:tcPr>
            <w:tcW w:type="dxa" w:w="4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Photometric jitter, synthetic fog/rain/night; light flips; NO heavy warps</w:t>
            </w:r>
          </w:p>
        </w:tc>
        <w:tc>
          <w:tcPr>
            <w:tcW w:type="dxa" w:w="32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Cameras are fixed — simulate lighting, not viewpoints</w:t>
            </w:r>
          </w:p>
        </w:tc>
      </w:tr>
      <w:tr>
        <w:tc>
          <w:tcPr>
            <w:tcW w:type="dxa" w:w="25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9. Class balancing</w:t>
            </w:r>
          </w:p>
        </w:tc>
        <w:tc>
          <w:tcPr>
            <w:tcW w:type="dxa" w:w="4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Class weights / weighted sampling</w:t>
            </w:r>
          </w:p>
        </w:tc>
        <w:tc>
          <w:tcPr>
            <w:tcW w:type="dxa" w:w="32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Counters maintenance-class scarcity</w:t>
            </w:r>
          </w:p>
        </w:tc>
      </w:tr>
    </w:tbl>
    <w:p>
      <w:pPr>
        <w:pStyle w:val="Heading2"/>
        <w:spacing w:after="90" w:before="240"/>
      </w:pPr>
      <w:r>
        <w:rPr>
          <w:rFonts w:ascii="Calibri" w:cs="Calibri" w:eastAsia="Calibri" w:hAnsi="Calibri"/>
          <w:b/>
          <w:bCs/>
          <w:color w:val="8A4FBE"/>
          <w:sz w:val="25"/>
          <w:szCs w:val="25"/>
        </w:rPr>
        <w:t xml:space="preserve">3.6  The Four Selected Models</w:t>
      </w:r>
    </w:p>
    <w:p>
      <w:pPr>
        <w:spacing w:after="130" w:line="276"/>
        <w:jc w:val="both"/>
      </w:pPr>
      <w:r>
        <w:rPr>
          <w:rFonts w:ascii="Georgia" w:cs="Georgia" w:eastAsia="Georgia" w:hAnsi="Georgia"/>
          <w:color w:val="1B2430"/>
          <w:sz w:val="21"/>
          <w:szCs w:val="21"/>
        </w:rPr>
        <w:t xml:space="preserve">From the seven benchmarked in the pilot, the thesis carries the four strongest and most instructive: three frozen backbones with trained heads plus one zero-shot baseline. The collapsing VLMs (CLIP-L/14, SigLIP2) and weak CLIP-B/32 move to an appendix as negative results.</w:t>
      </w:r>
    </w:p>
    <w:tbl>
      <w:tblPr>
        <w:tblW w:type="dxa" w:w="10700"/>
        <w:tblBorders>
          <w:top w:val="single" w:color="C9BFDD" w:sz="4"/>
          <w:left w:val="single" w:color="C9BFDD" w:sz="4"/>
          <w:bottom w:val="single" w:color="C9BFDD" w:sz="4"/>
          <w:right w:val="single" w:color="C9BFDD" w:sz="4"/>
          <w:insideH w:val="single" w:color="C9BFDD" w:sz="4"/>
          <w:insideV w:val="single" w:color="C9BFDD" w:sz="4"/>
        </w:tblBorders>
      </w:tblPr>
      <w:tblGrid>
        <w:gridCol w:w="2600"/>
        <w:gridCol w:w="3100"/>
        <w:gridCol w:w="3100"/>
        <w:gridCol w:w="1900"/>
      </w:tblGrid>
      <w:tr>
        <w:trPr>
          <w:tblHeader/>
        </w:trPr>
        <w:tc>
          <w:tcPr>
            <w:tcW w:type="dxa" w:w="26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Model (role)</w:t>
            </w:r>
          </w:p>
        </w:tc>
        <w:tc>
          <w:tcPr>
            <w:tcW w:type="dxa" w:w="31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Type / pretraining</w:t>
            </w:r>
          </w:p>
        </w:tc>
        <w:tc>
          <w:tcPr>
            <w:tcW w:type="dxa" w:w="31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How it is used</w:t>
            </w:r>
          </w:p>
        </w:tc>
        <w:tc>
          <w:tcPr>
            <w:tcW w:type="dxa" w:w="19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Pilot result</w:t>
            </w:r>
          </w:p>
        </w:tc>
      </w:tr>
      <w:tr>
        <w:tc>
          <w:tcPr>
            <w:tcW w:type="dxa" w:w="2600"/>
            <w:shd w:fill="FFFFFF" w:color="auto" w:val="clear"/>
            <w:tcMar>
              <w:top w:type="dxa" w:w="50"/>
              <w:left w:type="dxa" w:w="90"/>
              <w:bottom w:type="dxa" w:w="50"/>
              <w:right w:type="dxa" w:w="90"/>
            </w:tcMar>
          </w:tcPr>
          <w:p>
            <w:pPr>
              <w:spacing w:after="40"/>
            </w:pPr>
            <w:r>
              <w:rPr>
                <w:rFonts w:ascii="Georgia" w:cs="Georgia" w:eastAsia="Georgia" w:hAnsi="Georgia"/>
                <w:b/>
                <w:bCs/>
                <w:color w:val="1B2430"/>
                <w:sz w:val="18"/>
                <w:szCs w:val="18"/>
              </w:rPr>
              <w:t xml:space="preserve">ViT-Base + head</w:t>
            </w:r>
          </w:p>
          <w:p>
            <w:pPr>
              <w:spacing w:after="0"/>
            </w:pPr>
            <w:r>
              <w:rPr>
                <w:rFonts w:ascii="Georgia" w:cs="Georgia" w:eastAsia="Georgia" w:hAnsi="Georgia"/>
                <w:color w:val="5A5470"/>
                <w:sz w:val="18"/>
                <w:szCs w:val="18"/>
              </w:rPr>
              <w:t xml:space="preserve">accuracy reference</w:t>
            </w:r>
          </w:p>
        </w:tc>
        <w:tc>
          <w:tcPr>
            <w:tcW w:type="dxa" w:w="31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Supervised ViT (ImageNet-21k→1k); ~86M; frozen</w:t>
            </w:r>
          </w:p>
        </w:tc>
        <w:tc>
          <w:tcPr>
            <w:tcW w:type="dxa" w:w="31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Head only: mean-pooled 768-d → logistic reg.</w:t>
            </w:r>
          </w:p>
        </w:tc>
        <w:tc>
          <w:tcPr>
            <w:tcW w:type="dxa" w:w="19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99.2% · 203 ms</w:t>
            </w:r>
          </w:p>
        </w:tc>
      </w:tr>
      <w:tr>
        <w:tc>
          <w:tcPr>
            <w:tcW w:type="dxa" w:w="2600"/>
            <w:shd w:fill="F6F3FA" w:color="auto" w:val="clear"/>
            <w:tcMar>
              <w:top w:type="dxa" w:w="50"/>
              <w:left w:type="dxa" w:w="90"/>
              <w:bottom w:type="dxa" w:w="50"/>
              <w:right w:type="dxa" w:w="90"/>
            </w:tcMar>
          </w:tcPr>
          <w:p>
            <w:pPr>
              <w:spacing w:after="40"/>
            </w:pPr>
            <w:r>
              <w:rPr>
                <w:rFonts w:ascii="Georgia" w:cs="Georgia" w:eastAsia="Georgia" w:hAnsi="Georgia"/>
                <w:b/>
                <w:bCs/>
                <w:color w:val="1B2430"/>
                <w:sz w:val="18"/>
                <w:szCs w:val="18"/>
              </w:rPr>
              <w:t xml:space="preserve">DINOv2-Base + head</w:t>
            </w:r>
          </w:p>
          <w:p>
            <w:pPr>
              <w:spacing w:after="0"/>
            </w:pPr>
            <w:r>
              <w:rPr>
                <w:rFonts w:ascii="Georgia" w:cs="Georgia" w:eastAsia="Georgia" w:hAnsi="Georgia"/>
                <w:color w:val="5A5470"/>
                <w:sz w:val="18"/>
                <w:szCs w:val="18"/>
              </w:rPr>
              <w:t xml:space="preserve">robustness pick</w:t>
            </w:r>
          </w:p>
        </w:tc>
        <w:tc>
          <w:tcPr>
            <w:tcW w:type="dxa" w:w="31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Self-supervised (LVD-142M); ~86M; frozen</w:t>
            </w:r>
          </w:p>
        </w:tc>
        <w:tc>
          <w:tcPr>
            <w:tcW w:type="dxa" w:w="31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Head only on 768-d; robust to light/weather</w:t>
            </w:r>
          </w:p>
        </w:tc>
        <w:tc>
          <w:tcPr>
            <w:tcW w:type="dxa" w:w="19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98.5% · 254 ms</w:t>
            </w:r>
          </w:p>
        </w:tc>
      </w:tr>
      <w:tr>
        <w:tc>
          <w:tcPr>
            <w:tcW w:type="dxa" w:w="2600"/>
            <w:shd w:fill="FFFFFF" w:color="auto" w:val="clear"/>
            <w:tcMar>
              <w:top w:type="dxa" w:w="50"/>
              <w:left w:type="dxa" w:w="90"/>
              <w:bottom w:type="dxa" w:w="50"/>
              <w:right w:type="dxa" w:w="90"/>
            </w:tcMar>
          </w:tcPr>
          <w:p>
            <w:pPr>
              <w:spacing w:after="40"/>
            </w:pPr>
            <w:r>
              <w:rPr>
                <w:rFonts w:ascii="Georgia" w:cs="Georgia" w:eastAsia="Georgia" w:hAnsi="Georgia"/>
                <w:b/>
                <w:bCs/>
                <w:color w:val="1B2430"/>
                <w:sz w:val="18"/>
                <w:szCs w:val="18"/>
              </w:rPr>
              <w:t xml:space="preserve">ConvNeXtV2-Tiny + head</w:t>
            </w:r>
          </w:p>
          <w:p>
            <w:pPr>
              <w:spacing w:after="0"/>
            </w:pPr>
            <w:r>
              <w:rPr>
                <w:rFonts w:ascii="Georgia" w:cs="Georgia" w:eastAsia="Georgia" w:hAnsi="Georgia"/>
                <w:color w:val="5A5470"/>
                <w:sz w:val="18"/>
                <w:szCs w:val="18"/>
              </w:rPr>
              <w:t xml:space="preserve">production lean</w:t>
            </w:r>
          </w:p>
        </w:tc>
        <w:tc>
          <w:tcPr>
            <w:tcW w:type="dxa" w:w="31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Self-sup. (FCMAE)→IN-22k; ~28M; frozen</w:t>
            </w:r>
          </w:p>
        </w:tc>
        <w:tc>
          <w:tcPr>
            <w:tcW w:type="dxa" w:w="31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Head only on GAP features; smallest &amp; fastest</w:t>
            </w:r>
          </w:p>
        </w:tc>
        <w:tc>
          <w:tcPr>
            <w:tcW w:type="dxa" w:w="19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98.1% · 102 ms</w:t>
            </w:r>
          </w:p>
        </w:tc>
      </w:tr>
      <w:tr>
        <w:tc>
          <w:tcPr>
            <w:tcW w:type="dxa" w:w="2600"/>
            <w:shd w:fill="F6F3FA" w:color="auto" w:val="clear"/>
            <w:tcMar>
              <w:top w:type="dxa" w:w="50"/>
              <w:left w:type="dxa" w:w="90"/>
              <w:bottom w:type="dxa" w:w="50"/>
              <w:right w:type="dxa" w:w="90"/>
            </w:tcMar>
          </w:tcPr>
          <w:p>
            <w:pPr>
              <w:spacing w:after="40"/>
            </w:pPr>
            <w:r>
              <w:rPr>
                <w:rFonts w:ascii="Georgia" w:cs="Georgia" w:eastAsia="Georgia" w:hAnsi="Georgia"/>
                <w:b/>
                <w:bCs/>
                <w:color w:val="1B2430"/>
                <w:sz w:val="18"/>
                <w:szCs w:val="18"/>
              </w:rPr>
              <w:t xml:space="preserve">OpenCLIP ViT-B/32</w:t>
            </w:r>
          </w:p>
          <w:p>
            <w:pPr>
              <w:spacing w:after="0"/>
            </w:pPr>
            <w:r>
              <w:rPr>
                <w:rFonts w:ascii="Georgia" w:cs="Georgia" w:eastAsia="Georgia" w:hAnsi="Georgia"/>
                <w:color w:val="5A5470"/>
                <w:sz w:val="18"/>
                <w:szCs w:val="18"/>
              </w:rPr>
              <w:t xml:space="preserve">zero-shot baseline</w:t>
            </w:r>
          </w:p>
        </w:tc>
        <w:tc>
          <w:tcPr>
            <w:tcW w:type="dxa" w:w="31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Contrastive VLM (LAION-2B); no training</w:t>
            </w:r>
          </w:p>
        </w:tc>
        <w:tc>
          <w:tcPr>
            <w:tcW w:type="dxa" w:w="31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Prompt-based zero-shot; cold-start option</w:t>
            </w:r>
          </w:p>
        </w:tc>
        <w:tc>
          <w:tcPr>
            <w:tcW w:type="dxa" w:w="19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75.8% · 247 ms</w:t>
            </w:r>
          </w:p>
        </w:tc>
      </w:tr>
    </w:tbl>
    <w:p>
      <w:pPr>
        <w:spacing w:after="130" w:line="276"/>
        <w:jc w:val="both"/>
      </w:pPr>
      <w:r>
        <w:rPr>
          <w:rFonts w:ascii="Georgia" w:cs="Georgia" w:eastAsia="Georgia" w:hAnsi="Georgia"/>
          <w:b/>
          <w:bCs/>
          <w:color w:val="1B2430"/>
          <w:sz w:val="21"/>
          <w:szCs w:val="21"/>
        </w:rPr>
        <w:t xml:space="preserve">Selection rationale: </w:t>
      </w:r>
      <w:r>
        <w:rPr>
          <w:rFonts w:ascii="Georgia" w:cs="Georgia" w:eastAsia="Georgia" w:hAnsi="Georgia"/>
          <w:color w:val="1B2430"/>
          <w:sz w:val="21"/>
          <w:szCs w:val="21"/>
        </w:rPr>
        <w:t xml:space="preserve">ConvNeXtV2-Tiny is the production lead — tied on accuracy at a quarter to half the latency and a third of the parameters. ViT-Base is the accuracy ceiling, DINOv2 the robustness reference, and OpenCLIP quantifies the cost of a no-label deployment. DINOv3 (licence-gated) is queued as an extra candidate.</w:t>
      </w:r>
    </w:p>
    <w:p>
      <w:pPr>
        <w:pStyle w:val="Heading2"/>
        <w:spacing w:after="90" w:before="240"/>
      </w:pPr>
      <w:r>
        <w:rPr>
          <w:rFonts w:ascii="Calibri" w:cs="Calibri" w:eastAsia="Calibri" w:hAnsi="Calibri"/>
          <w:b/>
          <w:bCs/>
          <w:color w:val="8A4FBE"/>
          <w:sz w:val="25"/>
          <w:szCs w:val="25"/>
        </w:rPr>
        <w:t xml:space="preserve">3.7  Training Approach</w:t>
      </w:r>
    </w:p>
    <w:p>
      <w:pPr>
        <w:spacing w:after="130" w:line="276"/>
        <w:jc w:val="both"/>
      </w:pPr>
      <w:r>
        <w:rPr>
          <w:rFonts w:ascii="Georgia" w:cs="Georgia" w:eastAsia="Georgia" w:hAnsi="Georgia"/>
          <w:color w:val="1B2430"/>
          <w:sz w:val="21"/>
          <w:szCs w:val="21"/>
        </w:rPr>
        <w:t xml:space="preserve">For the three backbones: freeze, extract one pooled feature vector per image, cache it, and train only a small logistic-regression head. No backbone weights change. The zero-shot baseline scores fixed prompts per frame. Head hyper-parameters are chosen by cross-validation </w:t>
      </w:r>
      <w:r>
        <w:rPr>
          <w:rFonts w:ascii="Georgia" w:cs="Georgia" w:eastAsia="Georgia" w:hAnsi="Georgia"/>
          <w:i/>
          <w:iCs/>
          <w:color w:val="1B2430"/>
          <w:sz w:val="21"/>
          <w:szCs w:val="21"/>
        </w:rPr>
        <w:t xml:space="preserve">within training venues only</w:t>
      </w:r>
      <w:r>
        <w:rPr>
          <w:rFonts w:ascii="Georgia" w:cs="Georgia" w:eastAsia="Georgia" w:hAnsi="Georgia"/>
          <w:color w:val="1B2430"/>
          <w:sz w:val="21"/>
          <w:szCs w:val="21"/>
        </w:rPr>
        <w:t xml:space="preserve">, never touching held-out venues.</w:t>
      </w:r>
    </w:p>
    <w:p>
      <w:pPr>
        <w:pStyle w:val="Heading2"/>
        <w:spacing w:after="90" w:before="240"/>
      </w:pPr>
      <w:r>
        <w:rPr>
          <w:rFonts w:ascii="Calibri" w:cs="Calibri" w:eastAsia="Calibri" w:hAnsi="Calibri"/>
          <w:b/>
          <w:bCs/>
          <w:color w:val="8A4FBE"/>
          <w:sz w:val="25"/>
          <w:szCs w:val="25"/>
        </w:rPr>
        <w:t xml:space="preserve">3.8  Evaluation Methodology</w:t>
      </w:r>
    </w:p>
    <w:p>
      <w:pPr>
        <w:spacing w:after="130" w:line="276"/>
        <w:jc w:val="both"/>
      </w:pPr>
      <w:r>
        <w:rPr>
          <w:rFonts w:ascii="Georgia" w:cs="Georgia" w:eastAsia="Georgia" w:hAnsi="Georgia"/>
          <w:color w:val="1B2430"/>
          <w:sz w:val="21"/>
          <w:szCs w:val="21"/>
        </w:rPr>
        <w:t xml:space="preserve">The central upgrade over the pilot is the split. The pilot used one random stratified split (seed 42; 1,036/260) on same-scene data, which inflates accuracy because near-identical frames appear on both sides. The thesis uses </w:t>
      </w:r>
      <w:r>
        <w:rPr>
          <w:rFonts w:ascii="Georgia" w:cs="Georgia" w:eastAsia="Georgia" w:hAnsi="Georgia"/>
          <w:b/>
          <w:bCs/>
          <w:color w:val="1B2430"/>
          <w:sz w:val="21"/>
          <w:szCs w:val="21"/>
        </w:rPr>
        <w:t xml:space="preserve">grouped, leakage-free splits</w:t>
      </w:r>
      <w:r>
        <w:rPr>
          <w:rFonts w:ascii="Georgia" w:cs="Georgia" w:eastAsia="Georgia" w:hAnsi="Georgia"/>
          <w:color w:val="1B2430"/>
          <w:sz w:val="21"/>
          <w:szCs w:val="21"/>
        </w:rPr>
        <w:t xml:space="preserve">:</w:t>
      </w:r>
    </w:p>
    <w:p>
      <w:pPr>
        <w:pStyle w:val="ListParagraph"/>
        <w:numPr>
          <w:ilvl w:val="0"/>
          <w:numId w:val="3"/>
        </w:numPr>
        <w:spacing w:after="60" w:line="270"/>
        <w:jc w:val="left"/>
      </w:pPr>
      <w:r>
        <w:rPr>
          <w:rFonts w:ascii="Georgia" w:cs="Georgia" w:eastAsia="Georgia" w:hAnsi="Georgia"/>
          <w:b/>
          <w:bCs/>
          <w:color w:val="1B2430"/>
          <w:sz w:val="21"/>
          <w:szCs w:val="21"/>
        </w:rPr>
        <w:t xml:space="preserve">Grouped split: </w:t>
      </w:r>
      <w:r>
        <w:rPr>
          <w:rFonts w:ascii="Georgia" w:cs="Georgia" w:eastAsia="Georgia" w:hAnsi="Georgia"/>
          <w:color w:val="1B2430"/>
          <w:sz w:val="21"/>
          <w:szCs w:val="21"/>
        </w:rPr>
        <w:t xml:space="preserve">partition by (venue × day × slot) so no scene crosses the boundary.</w:t>
      </w:r>
    </w:p>
    <w:p>
      <w:pPr>
        <w:pStyle w:val="ListParagraph"/>
        <w:numPr>
          <w:ilvl w:val="0"/>
          <w:numId w:val="3"/>
        </w:numPr>
        <w:spacing w:after="60" w:line="270"/>
        <w:jc w:val="left"/>
      </w:pPr>
      <w:r>
        <w:rPr>
          <w:rFonts w:ascii="Georgia" w:cs="Georgia" w:eastAsia="Georgia" w:hAnsi="Georgia"/>
          <w:b/>
          <w:bCs/>
          <w:color w:val="1B2430"/>
          <w:sz w:val="21"/>
          <w:szCs w:val="21"/>
        </w:rPr>
        <w:t xml:space="preserve">Leave-one-venue-out: </w:t>
      </w:r>
      <w:r>
        <w:rPr>
          <w:rFonts w:ascii="Georgia" w:cs="Georgia" w:eastAsia="Georgia" w:hAnsi="Georgia"/>
          <w:color w:val="1B2430"/>
          <w:sz w:val="21"/>
          <w:szCs w:val="21"/>
        </w:rPr>
        <w:t xml:space="preserve">train on all but one venue, test on the unseen venue, for true generalisation.</w:t>
      </w:r>
    </w:p>
    <w:p>
      <w:pPr>
        <w:pStyle w:val="ListParagraph"/>
        <w:numPr>
          <w:ilvl w:val="0"/>
          <w:numId w:val="3"/>
        </w:numPr>
        <w:spacing w:after="60" w:line="270"/>
        <w:jc w:val="left"/>
      </w:pPr>
      <w:r>
        <w:rPr>
          <w:rFonts w:ascii="Georgia" w:cs="Georgia" w:eastAsia="Georgia" w:hAnsi="Georgia"/>
          <w:b/>
          <w:bCs/>
          <w:color w:val="1B2430"/>
          <w:sz w:val="21"/>
          <w:szCs w:val="21"/>
        </w:rPr>
        <w:t xml:space="preserve">Minority-protected stratification: </w:t>
      </w:r>
      <w:r>
        <w:rPr>
          <w:rFonts w:ascii="Georgia" w:cs="Georgia" w:eastAsia="Georgia" w:hAnsi="Georgia"/>
          <w:color w:val="1B2430"/>
          <w:sz w:val="21"/>
          <w:szCs w:val="21"/>
        </w:rPr>
        <w:t xml:space="preserve">ensure the maintenance class appears in every fold.</w:t>
      </w:r>
    </w:p>
    <w:p>
      <w:pPr>
        <w:spacing w:after="130" w:line="276"/>
        <w:jc w:val="both"/>
      </w:pPr>
      <w:r>
        <w:rPr>
          <w:rFonts w:ascii="Georgia" w:cs="Georgia" w:eastAsia="Georgia" w:hAnsi="Georgia"/>
          <w:color w:val="1B2430"/>
          <w:sz w:val="21"/>
          <w:szCs w:val="21"/>
        </w:rPr>
        <w:t xml:space="preserve">Frame-level metrics: accuracy, per-class P/R/F1, macro-F1 (emphasised), balanced accuracy, confusion matrices. Operational metrics: slot USED/NOTUSED/REVIEW accuracy, REVIEW rate, reconciliation precision/recall. Calibration (reliability diagrams, expected calibration error) is reported because the decision thresholds on confidence. Efficiency (CPU latency, peak memory) accompanies every accuracy figure, with an OpenVINO measurement for the production model.</w:t>
      </w:r>
    </w:p>
    <w:p>
      <w:pPr>
        <w:pStyle w:val="Heading1"/>
        <w:pageBreakBefore/>
        <w:spacing w:after="140" w:before="0"/>
      </w:pPr>
      <w:r>
        <w:rPr>
          <w:rFonts w:ascii="Calibri" w:cs="Calibri" w:eastAsia="Calibri" w:hAnsi="Calibri"/>
          <w:b/>
          <w:bCs/>
          <w:color w:val="5B3E8E"/>
          <w:sz w:val="30"/>
          <w:szCs w:val="30"/>
        </w:rPr>
        <w:t xml:space="preserve">4.  Novel Architectural Contributions</w:t>
      </w:r>
    </w:p>
    <w:p>
      <w:pPr>
        <w:spacing w:after="130" w:line="276"/>
        <w:jc w:val="both"/>
      </w:pPr>
      <w:r>
        <w:rPr>
          <w:rFonts w:ascii="Georgia" w:cs="Georgia" w:eastAsia="Georgia" w:hAnsi="Georgia"/>
          <w:color w:val="1B2430"/>
          <w:sz w:val="21"/>
          <w:szCs w:val="21"/>
        </w:rPr>
        <w:t xml:space="preserve">A benchmark alone is a weak thesis. This chapter proposes a small family of purpose-built, edge-constrained architectures that target the specific weaknesses of the baseline design: hand-tuned decision thresholds, single-backbone brittleness across conditions, and ignored contextual priors. Each contribution keeps the heavy backbones frozen and adds only lightweight trainable modules, so every proposal remains CPU-deployable and directly ablatable against the baseline.</w:t>
      </w:r>
    </w:p>
    <w:p>
      <w:pPr>
        <w:pStyle w:val="Heading2"/>
        <w:spacing w:after="90" w:before="240"/>
      </w:pPr>
      <w:r>
        <w:rPr>
          <w:rFonts w:ascii="Calibri" w:cs="Calibri" w:eastAsia="Calibri" w:hAnsi="Calibri"/>
          <w:b/>
          <w:bCs/>
          <w:color w:val="8A4FBE"/>
          <w:sz w:val="25"/>
          <w:szCs w:val="25"/>
        </w:rPr>
        <w:t xml:space="preserve">4.1  Design Principles</w:t>
      </w:r>
    </w:p>
    <w:p>
      <w:pPr>
        <w:pStyle w:val="ListParagraph"/>
        <w:numPr>
          <w:ilvl w:val="0"/>
          <w:numId w:val="3"/>
        </w:numPr>
        <w:spacing w:after="60" w:line="270"/>
        <w:jc w:val="left"/>
      </w:pPr>
      <w:r>
        <w:rPr>
          <w:rFonts w:ascii="Georgia" w:cs="Georgia" w:eastAsia="Georgia" w:hAnsi="Georgia"/>
          <w:color w:val="1B2430"/>
          <w:sz w:val="21"/>
          <w:szCs w:val="21"/>
        </w:rPr>
        <w:t xml:space="preserve">Backbones stay frozen; only small modules (a few thousand to a few hundred-thousand parameters) are trained — preserving the CPU/edge budget.</w:t>
      </w:r>
    </w:p>
    <w:p>
      <w:pPr>
        <w:pStyle w:val="ListParagraph"/>
        <w:numPr>
          <w:ilvl w:val="0"/>
          <w:numId w:val="3"/>
        </w:numPr>
        <w:spacing w:after="60" w:line="270"/>
        <w:jc w:val="left"/>
      </w:pPr>
      <w:r>
        <w:rPr>
          <w:rFonts w:ascii="Georgia" w:cs="Georgia" w:eastAsia="Georgia" w:hAnsi="Georgia"/>
          <w:color w:val="1B2430"/>
          <w:sz w:val="21"/>
          <w:szCs w:val="21"/>
        </w:rPr>
        <w:t xml:space="preserve">Every novelty is evaluated as an ablation against a strong baseline, with paired significance tests, so any gain is defensible rather than anecdotal.</w:t>
      </w:r>
    </w:p>
    <w:p>
      <w:pPr>
        <w:pStyle w:val="ListParagraph"/>
        <w:numPr>
          <w:ilvl w:val="0"/>
          <w:numId w:val="3"/>
        </w:numPr>
        <w:spacing w:after="60" w:line="270"/>
        <w:jc w:val="left"/>
      </w:pPr>
      <w:r>
        <w:rPr>
          <w:rFonts w:ascii="Georgia" w:cs="Georgia" w:eastAsia="Georgia" w:hAnsi="Georgia"/>
          <w:color w:val="1B2430"/>
          <w:sz w:val="21"/>
          <w:szCs w:val="21"/>
        </w:rPr>
        <w:t xml:space="preserve">Each module must justify its added latency and memory; a gain that breaks the real-time budget is reported as such.</w:t>
      </w:r>
    </w:p>
    <w:p>
      <w:pPr>
        <w:pStyle w:val="Heading2"/>
        <w:spacing w:after="90" w:before="240"/>
      </w:pPr>
      <w:r>
        <w:rPr>
          <w:rFonts w:ascii="Calibri" w:cs="Calibri" w:eastAsia="Calibri" w:hAnsi="Calibri"/>
          <w:b/>
          <w:bCs/>
          <w:color w:val="8A4FBE"/>
          <w:sz w:val="25"/>
          <w:szCs w:val="25"/>
        </w:rPr>
        <w:t xml:space="preserve">4.2  Contribution A — Slot-Temporal Aggregation Network (STAN)</w:t>
      </w:r>
    </w:p>
    <w:p>
      <w:pPr>
        <w:spacing w:after="130" w:line="276"/>
        <w:jc w:val="both"/>
      </w:pPr>
      <w:r>
        <w:rPr>
          <w:rFonts w:ascii="Georgia" w:cs="Georgia" w:eastAsia="Georgia" w:hAnsi="Georgia"/>
          <w:b/>
          <w:bCs/>
          <w:color w:val="1B2430"/>
          <w:sz w:val="21"/>
          <w:szCs w:val="21"/>
        </w:rPr>
        <w:t xml:space="preserve">Problem: </w:t>
      </w:r>
      <w:r>
        <w:rPr>
          <w:rFonts w:ascii="Georgia" w:cs="Georgia" w:eastAsia="Georgia" w:hAnsi="Georgia"/>
          <w:color w:val="1B2430"/>
          <w:sz w:val="21"/>
          <w:szCs w:val="21"/>
        </w:rPr>
        <w:t xml:space="preserve">the current slot decision applies fixed ratio thresholds (active-play ≥ 0.35 → USED, etc.). These are unlearned, brittle, and ignore temporal order and dynamics.</w:t>
      </w:r>
    </w:p>
    <w:p>
      <w:pPr>
        <w:spacing w:after="130" w:line="276"/>
        <w:jc w:val="both"/>
      </w:pPr>
      <w:r>
        <w:rPr>
          <w:rFonts w:ascii="Georgia" w:cs="Georgia" w:eastAsia="Georgia" w:hAnsi="Georgia"/>
          <w:b/>
          <w:bCs/>
          <w:color w:val="1B2430"/>
          <w:sz w:val="21"/>
          <w:szCs w:val="21"/>
        </w:rPr>
        <w:t xml:space="preserve">Proposal: </w:t>
      </w:r>
      <w:r>
        <w:rPr>
          <w:rFonts w:ascii="Georgia" w:cs="Georgia" w:eastAsia="Georgia" w:hAnsi="Georgia"/>
          <w:color w:val="1B2430"/>
          <w:sz w:val="21"/>
          <w:szCs w:val="21"/>
        </w:rPr>
        <w:t xml:space="preserve">feed the ordered sequence of per-frame class probabilities (and optionally embeddings) across a slot into a compact temporal model — a 1-D temporal convolutional network or a two-layer Transformer encoder with only a few thousand parameters — that directly outputs the slot status and a calibrated uncertainty for REVIEW routing. It can learn realistic patterns: warm-up → sustained play → cool-down, brief interruptions that should not flip a verdict, or short maintenance bursts.</w:t>
      </w:r>
    </w:p>
    <w:p>
      <w:pPr>
        <w:spacing w:after="130" w:line="276"/>
        <w:jc w:val="both"/>
      </w:pPr>
      <w:r>
        <w:rPr>
          <w:rFonts w:ascii="Georgia" w:cs="Georgia" w:eastAsia="Georgia" w:hAnsi="Georgia"/>
          <w:b/>
          <w:bCs/>
          <w:color w:val="1B2430"/>
          <w:sz w:val="21"/>
          <w:szCs w:val="21"/>
        </w:rPr>
        <w:t xml:space="preserve">Why it strengthens the thesis: </w:t>
      </w:r>
      <w:r>
        <w:rPr>
          <w:rFonts w:ascii="Georgia" w:cs="Georgia" w:eastAsia="Georgia" w:hAnsi="Georgia"/>
          <w:color w:val="1B2430"/>
          <w:sz w:val="21"/>
          <w:szCs w:val="21"/>
        </w:rPr>
        <w:t xml:space="preserve">it replaces heuristics with a learned, calibrated decision layer and is directly comparable to the threshold baseline. Success criterion: STAN must beat threshold aggregation on slot-level macro-F1 with p &lt; 0.05 while keeping the REVIEW rate at or below baseline.</w:t>
      </w:r>
    </w:p>
    <w:p>
      <w:pPr>
        <w:pStyle w:val="Heading2"/>
        <w:spacing w:after="90" w:before="240"/>
      </w:pPr>
      <w:r>
        <w:rPr>
          <w:rFonts w:ascii="Calibri" w:cs="Calibri" w:eastAsia="Calibri" w:hAnsi="Calibri"/>
          <w:b/>
          <w:bCs/>
          <w:color w:val="8A4FBE"/>
          <w:sz w:val="25"/>
          <w:szCs w:val="25"/>
        </w:rPr>
        <w:t xml:space="preserve">4.3  Contribution B — Gated Multi-Backbone Fusion Head</w:t>
      </w:r>
    </w:p>
    <w:p>
      <w:pPr>
        <w:spacing w:after="130" w:line="276"/>
        <w:jc w:val="both"/>
      </w:pPr>
      <w:r>
        <w:rPr>
          <w:rFonts w:ascii="Georgia" w:cs="Georgia" w:eastAsia="Georgia" w:hAnsi="Georgia"/>
          <w:b/>
          <w:bCs/>
          <w:color w:val="1B2430"/>
          <w:sz w:val="21"/>
          <w:szCs w:val="21"/>
        </w:rPr>
        <w:t xml:space="preserve">Problem: </w:t>
      </w:r>
      <w:r>
        <w:rPr>
          <w:rFonts w:ascii="Georgia" w:cs="Georgia" w:eastAsia="Georgia" w:hAnsi="Georgia"/>
          <w:color w:val="1B2430"/>
          <w:sz w:val="21"/>
          <w:szCs w:val="21"/>
        </w:rPr>
        <w:t xml:space="preserve">no single backbone wins across all conditions — DINOv2 is robust in fog, ConvNeXt is fast and texture-sensitive, ViT is accurate in clear light.</w:t>
      </w:r>
    </w:p>
    <w:p>
      <w:pPr>
        <w:spacing w:after="130" w:line="276"/>
        <w:jc w:val="both"/>
      </w:pPr>
      <w:r>
        <w:rPr>
          <w:rFonts w:ascii="Georgia" w:cs="Georgia" w:eastAsia="Georgia" w:hAnsi="Georgia"/>
          <w:b/>
          <w:bCs/>
          <w:color w:val="1B2430"/>
          <w:sz w:val="21"/>
          <w:szCs w:val="21"/>
        </w:rPr>
        <w:t xml:space="preserve">Proposal: </w:t>
      </w:r>
      <w:r>
        <w:rPr>
          <w:rFonts w:ascii="Georgia" w:cs="Georgia" w:eastAsia="Georgia" w:hAnsi="Georgia"/>
          <w:color w:val="1B2430"/>
          <w:sz w:val="21"/>
          <w:szCs w:val="21"/>
        </w:rPr>
        <w:t xml:space="preserve">compute frozen features from two or three backbones; a tiny gating network conditioned on cheap image statistics (contrast, brightness, edge density) produces fusion weights, and a shared head classifies. At inference the gate can also route to a single backbone when confident (conditional computation), invoking a heavier backbone only when the cheap one is uncertain — a practical compute saving.</w:t>
      </w:r>
    </w:p>
    <w:p>
      <w:pPr>
        <w:spacing w:after="130" w:line="276"/>
        <w:jc w:val="both"/>
      </w:pPr>
      <w:r>
        <w:rPr>
          <w:rFonts w:ascii="Georgia" w:cs="Georgia" w:eastAsia="Georgia" w:hAnsi="Georgia"/>
          <w:b/>
          <w:bCs/>
          <w:color w:val="1B2430"/>
          <w:sz w:val="21"/>
          <w:szCs w:val="21"/>
        </w:rPr>
        <w:t xml:space="preserve">Why it strengthens the thesis: </w:t>
      </w:r>
      <w:r>
        <w:rPr>
          <w:rFonts w:ascii="Georgia" w:cs="Georgia" w:eastAsia="Georgia" w:hAnsi="Georgia"/>
          <w:color w:val="1B2430"/>
          <w:sz w:val="21"/>
          <w:szCs w:val="21"/>
        </w:rPr>
        <w:t xml:space="preserve">condition-adaptive fusion is tuned to the exact failure modes catalogued in the edge-case matrix, and the conditional-computation variant is a genuine efficiency result, not just an accuracy result.</w:t>
      </w:r>
    </w:p>
    <w:p>
      <w:pPr>
        <w:pStyle w:val="Heading2"/>
        <w:spacing w:after="90" w:before="240"/>
      </w:pPr>
      <w:r>
        <w:rPr>
          <w:rFonts w:ascii="Calibri" w:cs="Calibri" w:eastAsia="Calibri" w:hAnsi="Calibri"/>
          <w:b/>
          <w:bCs/>
          <w:color w:val="8A4FBE"/>
          <w:sz w:val="25"/>
          <w:szCs w:val="25"/>
        </w:rPr>
        <w:t xml:space="preserve">4.4  Contribution C — Context-Aware Multimodal Classifier</w:t>
      </w:r>
    </w:p>
    <w:p>
      <w:pPr>
        <w:spacing w:after="130" w:line="276"/>
        <w:jc w:val="both"/>
      </w:pPr>
      <w:r>
        <w:rPr>
          <w:rFonts w:ascii="Georgia" w:cs="Georgia" w:eastAsia="Georgia" w:hAnsi="Georgia"/>
          <w:b/>
          <w:bCs/>
          <w:color w:val="1B2430"/>
          <w:sz w:val="21"/>
          <w:szCs w:val="21"/>
        </w:rPr>
        <w:t xml:space="preserve">Problem: </w:t>
      </w:r>
      <w:r>
        <w:rPr>
          <w:rFonts w:ascii="Georgia" w:cs="Georgia" w:eastAsia="Georgia" w:hAnsi="Georgia"/>
          <w:color w:val="1B2430"/>
          <w:sz w:val="21"/>
          <w:szCs w:val="21"/>
        </w:rPr>
        <w:t xml:space="preserve">vision alone ignores strong priors — time of day, day of week, whether the slot is booked, the previous slot's state, and weather.</w:t>
      </w:r>
    </w:p>
    <w:p>
      <w:pPr>
        <w:spacing w:after="130" w:line="276"/>
        <w:jc w:val="both"/>
      </w:pPr>
      <w:r>
        <w:rPr>
          <w:rFonts w:ascii="Georgia" w:cs="Georgia" w:eastAsia="Georgia" w:hAnsi="Georgia"/>
          <w:b/>
          <w:bCs/>
          <w:color w:val="1B2430"/>
          <w:sz w:val="21"/>
          <w:szCs w:val="21"/>
        </w:rPr>
        <w:t xml:space="preserve">Proposal: </w:t>
      </w:r>
      <w:r>
        <w:rPr>
          <w:rFonts w:ascii="Georgia" w:cs="Georgia" w:eastAsia="Georgia" w:hAnsi="Georgia"/>
          <w:color w:val="1B2430"/>
          <w:sz w:val="21"/>
          <w:szCs w:val="21"/>
        </w:rPr>
        <w:t xml:space="preserve">concatenate the visual embedding with an encoded context vector (temporal features, weather, prior-slot state) and train a small fusion MLP head. This links naturally to the reconciliation layer of Chapter 7.</w:t>
      </w:r>
    </w:p>
    <w:p>
      <w:pPr>
        <w:spacing w:after="130" w:line="276"/>
        <w:jc w:val="both"/>
      </w:pPr>
      <w:r>
        <w:rPr>
          <w:rFonts w:ascii="Georgia" w:cs="Georgia" w:eastAsia="Georgia" w:hAnsi="Georgia"/>
          <w:b/>
          <w:bCs/>
          <w:color w:val="1B2430"/>
          <w:sz w:val="21"/>
          <w:szCs w:val="21"/>
        </w:rPr>
        <w:t xml:space="preserve">Rigour note (a subtle, thesis-worthy point): </w:t>
      </w:r>
      <w:r>
        <w:rPr>
          <w:rFonts w:ascii="Georgia" w:cs="Georgia" w:eastAsia="Georgia" w:hAnsi="Georgia"/>
          <w:color w:val="1B2430"/>
          <w:sz w:val="21"/>
          <w:szCs w:val="21"/>
        </w:rPr>
        <w:t xml:space="preserve">the model must not be allowed to "cheat" by trusting the booking flag and ignoring the pixels, which would defeat the audit purpose. This is handled by training with booking-flag dropout, by an adversarial ablation that removes the flag, and by always keeping a vision-only path so the reconciliation signal stays independent of the booking record it is meant to check.</w:t>
      </w:r>
    </w:p>
    <w:p>
      <w:pPr>
        <w:pStyle w:val="Heading2"/>
        <w:spacing w:after="90" w:before="240"/>
      </w:pPr>
      <w:r>
        <w:rPr>
          <w:rFonts w:ascii="Calibri" w:cs="Calibri" w:eastAsia="Calibri" w:hAnsi="Calibri"/>
          <w:b/>
          <w:bCs/>
          <w:color w:val="8A4FBE"/>
          <w:sz w:val="25"/>
          <w:szCs w:val="25"/>
        </w:rPr>
        <w:t xml:space="preserve">4.5  Contribution D — Edge Distillation and Quantisation (stretch)</w:t>
      </w:r>
    </w:p>
    <w:p>
      <w:pPr>
        <w:spacing w:after="130" w:line="276"/>
        <w:jc w:val="both"/>
      </w:pPr>
      <w:r>
        <w:rPr>
          <w:rFonts w:ascii="Georgia" w:cs="Georgia" w:eastAsia="Georgia" w:hAnsi="Georgia"/>
          <w:color w:val="1B2430"/>
          <w:sz w:val="21"/>
          <w:szCs w:val="21"/>
        </w:rPr>
        <w:t xml:space="preserve">As an efficiency contribution, the accuracy-champion ViT acts as a teacher whose soft labels distil into the production-lean ConvNeXt head (or a smaller student), aiming to lift the fast model toward the accuracy ceiling at no extra inference cost. An INT8 / OpenVINO quantisation study then measures the latency–accuracy trade-off on the actual target CPU.</w:t>
      </w:r>
    </w:p>
    <w:p>
      <w:pPr>
        <w:pStyle w:val="Heading2"/>
        <w:spacing w:after="90" w:before="240"/>
      </w:pPr>
      <w:r>
        <w:rPr>
          <w:rFonts w:ascii="Calibri" w:cs="Calibri" w:eastAsia="Calibri" w:hAnsi="Calibri"/>
          <w:b/>
          <w:bCs/>
          <w:color w:val="8A4FBE"/>
          <w:sz w:val="25"/>
          <w:szCs w:val="25"/>
        </w:rPr>
        <w:t xml:space="preserve">4.6  Evaluation of the Novel Components</w:t>
      </w:r>
    </w:p>
    <w:p>
      <w:pPr>
        <w:spacing w:after="130" w:line="276"/>
        <w:jc w:val="both"/>
      </w:pPr>
      <w:r>
        <w:rPr>
          <w:rFonts w:ascii="Georgia" w:cs="Georgia" w:eastAsia="Georgia" w:hAnsi="Georgia"/>
          <w:color w:val="1B2430"/>
          <w:sz w:val="21"/>
          <w:szCs w:val="21"/>
        </w:rPr>
        <w:t xml:space="preserve">Each component is measured by ablation against the baseline: threshold aggregation vs. STAN; best single backbone vs. gated fusion; vision-only vs. context-aware. Every comparison reports 95% bootstrap confidence intervals, a paired McNemar (frame) or bootstrap (slot) significance test, and the added latency and memory. A component is adopted into the production recommendation only if it delivers a statistically significant gain within the real-time budget.</w:t>
      </w:r>
    </w:p>
    <w:p>
      <w:pPr>
        <w:pStyle w:val="Heading2"/>
        <w:spacing w:after="90" w:before="240"/>
      </w:pPr>
      <w:r>
        <w:rPr>
          <w:rFonts w:ascii="Calibri" w:cs="Calibri" w:eastAsia="Calibri" w:hAnsi="Calibri"/>
          <w:b/>
          <w:bCs/>
          <w:color w:val="8A4FBE"/>
          <w:sz w:val="25"/>
          <w:szCs w:val="25"/>
        </w:rPr>
        <w:t xml:space="preserve">4.7  Ambition Tiers</w:t>
      </w:r>
    </w:p>
    <w:tbl>
      <w:tblPr>
        <w:tblW w:type="dxa" w:w="9600"/>
        <w:tblBorders>
          <w:top w:val="single" w:color="C9BFDD" w:sz="4"/>
          <w:left w:val="single" w:color="C9BFDD" w:sz="4"/>
          <w:bottom w:val="single" w:color="C9BFDD" w:sz="4"/>
          <w:right w:val="single" w:color="C9BFDD" w:sz="4"/>
          <w:insideH w:val="single" w:color="C9BFDD" w:sz="4"/>
          <w:insideV w:val="single" w:color="C9BFDD" w:sz="4"/>
        </w:tblBorders>
      </w:tblPr>
      <w:tblGrid>
        <w:gridCol w:w="2200"/>
        <w:gridCol w:w="4600"/>
        <w:gridCol w:w="2800"/>
      </w:tblGrid>
      <w:tr>
        <w:trPr>
          <w:tblHeader/>
        </w:trPr>
        <w:tc>
          <w:tcPr>
            <w:tcW w:type="dxa" w:w="22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Tier</w:t>
            </w:r>
          </w:p>
        </w:tc>
        <w:tc>
          <w:tcPr>
            <w:tcW w:type="dxa" w:w="46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Scope</w:t>
            </w:r>
          </w:p>
        </w:tc>
        <w:tc>
          <w:tcPr>
            <w:tcW w:type="dxa" w:w="28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Purpose</w:t>
            </w:r>
          </w:p>
        </w:tc>
      </w:tr>
      <w:tr>
        <w:tc>
          <w:tcPr>
            <w:tcW w:type="dxa" w:w="22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Core (solid pass)</w:t>
            </w:r>
          </w:p>
        </w:tc>
        <w:tc>
          <w:tcPr>
            <w:tcW w:type="dxa" w:w="46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Four-model leakage-free benchmark + STAN (the decision-layer novelty)</w:t>
            </w:r>
          </w:p>
        </w:tc>
        <w:tc>
          <w:tcPr>
            <w:tcW w:type="dxa" w:w="28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Highest-value novelty at lowest data risk</w:t>
            </w:r>
          </w:p>
        </w:tc>
      </w:tr>
      <w:tr>
        <w:tc>
          <w:tcPr>
            <w:tcW w:type="dxa" w:w="22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Target (high grade)</w:t>
            </w:r>
          </w:p>
        </w:tc>
        <w:tc>
          <w:tcPr>
            <w:tcW w:type="dxa" w:w="46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Core + gated fusion head + full ablations, significance tests, explainability</w:t>
            </w:r>
          </w:p>
        </w:tc>
        <w:tc>
          <w:tcPr>
            <w:tcW w:type="dxa" w:w="28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A defensible, rigorous, novel contribution</w:t>
            </w:r>
          </w:p>
        </w:tc>
      </w:tr>
      <w:tr>
        <w:tc>
          <w:tcPr>
            <w:tcW w:type="dxa" w:w="22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Stretch (distinction)</w:t>
            </w:r>
          </w:p>
        </w:tc>
        <w:tc>
          <w:tcPr>
            <w:tcW w:type="dxa" w:w="46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Context-multimodal + distillation/quantisation + DINOv3 + domain adaptation</w:t>
            </w:r>
          </w:p>
        </w:tc>
        <w:tc>
          <w:tcPr>
            <w:tcW w:type="dxa" w:w="28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Depth and breadth if ahead of schedule</w:t>
            </w:r>
          </w:p>
        </w:tc>
      </w:tr>
    </w:tbl>
    <w:p>
      <w:pPr>
        <w:pStyle w:val="Heading1"/>
        <w:pageBreakBefore/>
        <w:spacing w:after="140" w:before="0"/>
      </w:pPr>
      <w:r>
        <w:rPr>
          <w:rFonts w:ascii="Calibri" w:cs="Calibri" w:eastAsia="Calibri" w:hAnsi="Calibri"/>
          <w:b/>
          <w:bCs/>
          <w:color w:val="5B3E8E"/>
          <w:sz w:val="30"/>
          <w:szCs w:val="30"/>
        </w:rPr>
        <w:t xml:space="preserve">5.  System Architecture and Decision Model</w:t>
      </w:r>
    </w:p>
    <w:p>
      <w:pPr>
        <w:pStyle w:val="Heading2"/>
        <w:spacing w:after="90" w:before="240"/>
      </w:pPr>
      <w:r>
        <w:rPr>
          <w:rFonts w:ascii="Calibri" w:cs="Calibri" w:eastAsia="Calibri" w:hAnsi="Calibri"/>
          <w:b/>
          <w:bCs/>
          <w:color w:val="8A4FBE"/>
          <w:sz w:val="25"/>
          <w:szCs w:val="25"/>
        </w:rPr>
        <w:t xml:space="preserve">5.1  Two-Tier Hybrid Pipeline</w:t>
      </w:r>
    </w:p>
    <w:p>
      <w:pPr>
        <w:spacing w:after="130" w:line="276"/>
        <w:jc w:val="both"/>
      </w:pPr>
      <w:r>
        <w:rPr>
          <w:rFonts w:ascii="Georgia" w:cs="Georgia" w:eastAsia="Georgia" w:hAnsi="Georgia"/>
          <w:color w:val="1B2430"/>
          <w:sz w:val="21"/>
          <w:szCs w:val="21"/>
        </w:rPr>
        <w:t xml:space="preserve">The runtime pipeline is decoupled and asynchronous: capture, inference, aggregation, and dashboard serving run as independent processes. Each frame passes a two-tier decision:</w:t>
      </w:r>
    </w:p>
    <w:p>
      <w:pPr>
        <w:pStyle w:val="ListParagraph"/>
        <w:numPr>
          <w:ilvl w:val="0"/>
          <w:numId w:val="2"/>
        </w:numPr>
        <w:spacing w:after="60" w:line="270"/>
        <w:jc w:val="left"/>
      </w:pPr>
      <w:r>
        <w:rPr>
          <w:rFonts w:ascii="Georgia" w:cs="Georgia" w:eastAsia="Georgia" w:hAnsi="Georgia"/>
          <w:b/>
          <w:bCs/>
          <w:color w:val="1B2430"/>
          <w:sz w:val="21"/>
          <w:szCs w:val="21"/>
        </w:rPr>
        <w:t xml:space="preserve">Tier 1 (primary): </w:t>
      </w:r>
      <w:r>
        <w:rPr>
          <w:rFonts w:ascii="Georgia" w:cs="Georgia" w:eastAsia="Georgia" w:hAnsi="Georgia"/>
          <w:color w:val="1B2430"/>
          <w:sz w:val="21"/>
          <w:szCs w:val="21"/>
        </w:rPr>
        <w:t xml:space="preserve">the frozen-backbone classifier scores the frame; if confidence ≥ 75% the prediction is recorded immediately.</w:t>
      </w:r>
    </w:p>
    <w:p>
      <w:pPr>
        <w:pStyle w:val="ListParagraph"/>
        <w:numPr>
          <w:ilvl w:val="0"/>
          <w:numId w:val="2"/>
        </w:numPr>
        <w:spacing w:after="60" w:line="270"/>
        <w:jc w:val="left"/>
      </w:pPr>
      <w:r>
        <w:rPr>
          <w:rFonts w:ascii="Georgia" w:cs="Georgia" w:eastAsia="Georgia" w:hAnsi="Georgia"/>
          <w:b/>
          <w:bCs/>
          <w:color w:val="1B2430"/>
          <w:sz w:val="21"/>
          <w:szCs w:val="21"/>
        </w:rPr>
        <w:t xml:space="preserve">Tier 2 (fallback): </w:t>
      </w:r>
      <w:r>
        <w:rPr>
          <w:rFonts w:ascii="Georgia" w:cs="Georgia" w:eastAsia="Georgia" w:hAnsi="Georgia"/>
          <w:color w:val="1B2430"/>
          <w:sz w:val="21"/>
          <w:szCs w:val="21"/>
        </w:rPr>
        <w:t xml:space="preserve">if confidence is ambiguous (~40–74%), a lightweight detector counts people and checks for hi-vis vests / machinery, separating players from maintenance staff.</w:t>
      </w:r>
    </w:p>
    <w:p>
      <w:pPr>
        <w:spacing w:after="130" w:line="276"/>
        <w:jc w:val="both"/>
      </w:pPr>
      <w:r>
        <w:rPr>
          <w:rFonts w:ascii="Georgia" w:cs="Georgia" w:eastAsia="Georgia" w:hAnsi="Georgia"/>
          <w:color w:val="1B2430"/>
          <w:sz w:val="21"/>
          <w:szCs w:val="21"/>
        </w:rPr>
        <w:t xml:space="preserve">This keeps the expensive detector idle on clear frames, preserving the CPU budget across many cameras. In the thesis's enhanced design (Chapter 4), the fixed thresholds are optionally replaced by the learned STAN decision layer.</w:t>
      </w:r>
    </w:p>
    <w:p>
      <w:pPr>
        <w:pStyle w:val="Heading2"/>
        <w:spacing w:after="90" w:before="240"/>
      </w:pPr>
      <w:r>
        <w:rPr>
          <w:rFonts w:ascii="Calibri" w:cs="Calibri" w:eastAsia="Calibri" w:hAnsi="Calibri"/>
          <w:b/>
          <w:bCs/>
          <w:color w:val="8A4FBE"/>
          <w:sz w:val="25"/>
          <w:szCs w:val="25"/>
        </w:rPr>
        <w:t xml:space="preserve">5.2  Slot Aggregation Decision Model (baseline)</w:t>
      </w:r>
    </w:p>
    <w:p>
      <w:pPr>
        <w:spacing w:after="130" w:line="276"/>
        <w:jc w:val="both"/>
      </w:pPr>
      <w:r>
        <w:rPr>
          <w:rFonts w:ascii="Georgia" w:cs="Georgia" w:eastAsia="Georgia" w:hAnsi="Georgia"/>
          <w:color w:val="1B2430"/>
          <w:sz w:val="21"/>
          <w:szCs w:val="21"/>
        </w:rPr>
        <w:t xml:space="preserve">Per-frame predictions aggregate over N ≈ 90 samples for a 90-minute slot. The baseline rules are:</w:t>
      </w:r>
    </w:p>
    <w:p>
      <w:pPr>
        <w:pStyle w:val="ListParagraph"/>
        <w:numPr>
          <w:ilvl w:val="0"/>
          <w:numId w:val="3"/>
        </w:numPr>
        <w:spacing w:after="60" w:line="270"/>
        <w:jc w:val="left"/>
      </w:pPr>
      <w:r>
        <w:rPr>
          <w:rFonts w:ascii="Georgia" w:cs="Georgia" w:eastAsia="Georgia" w:hAnsi="Georgia"/>
          <w:b/>
          <w:bCs/>
          <w:color w:val="1B2430"/>
          <w:sz w:val="21"/>
          <w:szCs w:val="21"/>
        </w:rPr>
        <w:t xml:space="preserve">USED</w:t>
      </w:r>
      <w:r>
        <w:rPr>
          <w:rFonts w:ascii="Georgia" w:cs="Georgia" w:eastAsia="Georgia" w:hAnsi="Georgia"/>
          <w:color w:val="1B2430"/>
          <w:sz w:val="21"/>
          <w:szCs w:val="21"/>
        </w:rPr>
        <w:t xml:space="preserve">  if active-play ratio ≥ 0.35 (≈ 30+ minutes played).</w:t>
      </w:r>
    </w:p>
    <w:p>
      <w:pPr>
        <w:pStyle w:val="ListParagraph"/>
        <w:numPr>
          <w:ilvl w:val="0"/>
          <w:numId w:val="3"/>
        </w:numPr>
        <w:spacing w:after="60" w:line="270"/>
        <w:jc w:val="left"/>
      </w:pPr>
      <w:r>
        <w:rPr>
          <w:rFonts w:ascii="Georgia" w:cs="Georgia" w:eastAsia="Georgia" w:hAnsi="Georgia"/>
          <w:b/>
          <w:bCs/>
          <w:color w:val="1B2430"/>
          <w:sz w:val="21"/>
          <w:szCs w:val="21"/>
        </w:rPr>
        <w:t xml:space="preserve">NOTUSED</w:t>
      </w:r>
      <w:r>
        <w:rPr>
          <w:rFonts w:ascii="Georgia" w:cs="Georgia" w:eastAsia="Georgia" w:hAnsi="Georgia"/>
          <w:color w:val="1B2430"/>
          <w:sz w:val="21"/>
          <w:szCs w:val="21"/>
        </w:rPr>
        <w:t xml:space="preserve">  if active-play ratio &lt; 0.10 and empty ratio ≥ 0.75.</w:t>
      </w:r>
    </w:p>
    <w:p>
      <w:pPr>
        <w:pStyle w:val="ListParagraph"/>
        <w:numPr>
          <w:ilvl w:val="0"/>
          <w:numId w:val="3"/>
        </w:numPr>
        <w:spacing w:after="60" w:line="270"/>
        <w:jc w:val="left"/>
      </w:pPr>
      <w:r>
        <w:rPr>
          <w:rFonts w:ascii="Georgia" w:cs="Georgia" w:eastAsia="Georgia" w:hAnsi="Georgia"/>
          <w:b/>
          <w:bCs/>
          <w:color w:val="1B2430"/>
          <w:sz w:val="21"/>
          <w:szCs w:val="21"/>
        </w:rPr>
        <w:t xml:space="preserve">REVIEW</w:t>
      </w:r>
      <w:r>
        <w:rPr>
          <w:rFonts w:ascii="Georgia" w:cs="Georgia" w:eastAsia="Georgia" w:hAnsi="Georgia"/>
          <w:color w:val="1B2430"/>
          <w:sz w:val="21"/>
          <w:szCs w:val="21"/>
        </w:rPr>
        <w:t xml:space="preserve">  otherwise — intermittent activity, lone workers, or poor weather.</w:t>
      </w:r>
    </w:p>
    <w:p>
      <w:pPr>
        <w:spacing w:after="130" w:line="276"/>
        <w:jc w:val="both"/>
      </w:pPr>
      <w:r>
        <w:rPr>
          <w:rFonts w:ascii="Georgia" w:cs="Georgia" w:eastAsia="Georgia" w:hAnsi="Georgia"/>
          <w:i/>
          <w:iCs/>
          <w:color w:val="1B2430"/>
          <w:sz w:val="21"/>
          <w:szCs w:val="21"/>
        </w:rPr>
        <w:t xml:space="preserve">These thresholds are treated as tunable hyper-parameters, optimised against slot-level ground truth, and serve as the baseline that STAN must beat.</w:t>
      </w:r>
    </w:p>
    <w:p>
      <w:pPr>
        <w:pStyle w:val="Heading2"/>
        <w:spacing w:after="90" w:before="240"/>
      </w:pPr>
      <w:r>
        <w:rPr>
          <w:rFonts w:ascii="Calibri" w:cs="Calibri" w:eastAsia="Calibri" w:hAnsi="Calibri"/>
          <w:b/>
          <w:bCs/>
          <w:color w:val="8A4FBE"/>
          <w:sz w:val="25"/>
          <w:szCs w:val="25"/>
        </w:rPr>
        <w:t xml:space="preserve">5.3  Evidence Snapshot Selection</w:t>
      </w:r>
    </w:p>
    <w:p>
      <w:pPr>
        <w:spacing w:after="130" w:line="276"/>
        <w:jc w:val="both"/>
      </w:pPr>
      <w:r>
        <w:rPr>
          <w:rFonts w:ascii="Georgia" w:cs="Georgia" w:eastAsia="Georgia" w:hAnsi="Georgia"/>
          <w:color w:val="1B2430"/>
          <w:sz w:val="21"/>
          <w:szCs w:val="21"/>
        </w:rPr>
        <w:t xml:space="preserve">Each verdict binds three evidence images: active-play frames are ranked by confidence and one is chosen from each third of the slot (first / middle / final 30 minutes); if too few active frames exist, high-confidence empty frames backfill. This gives a temporally representative, one-click visual proof.</w:t>
      </w:r>
    </w:p>
    <w:p>
      <w:pPr>
        <w:pStyle w:val="Heading2"/>
        <w:spacing w:after="90" w:before="240"/>
      </w:pPr>
      <w:r>
        <w:rPr>
          <w:rFonts w:ascii="Calibri" w:cs="Calibri" w:eastAsia="Calibri" w:hAnsi="Calibri"/>
          <w:b/>
          <w:bCs/>
          <w:color w:val="8A4FBE"/>
          <w:sz w:val="25"/>
          <w:szCs w:val="25"/>
        </w:rPr>
        <w:t xml:space="preserve">5.4  Data Model</w:t>
      </w:r>
    </w:p>
    <w:p>
      <w:pPr>
        <w:spacing w:after="130" w:line="276"/>
        <w:jc w:val="both"/>
      </w:pPr>
      <w:r>
        <w:rPr>
          <w:rFonts w:ascii="Georgia" w:cs="Georgia" w:eastAsia="Georgia" w:hAnsi="Georgia"/>
          <w:color w:val="1B2430"/>
          <w:sz w:val="21"/>
          <w:szCs w:val="21"/>
        </w:rPr>
        <w:t xml:space="preserve">The local database records fields (pitch + cameras), rental_slots (schedule), frame_samples (per-frame predictions with confidence and image path), and slot_evaluations (final status, decision reason, three evidence paths, and override audit fields). The override fields capture human corrections and form the ground-truth signal for monitoring model quality in production.</w:t>
      </w:r>
    </w:p>
    <w:p>
      <w:pPr>
        <w:pStyle w:val="Heading2"/>
        <w:spacing w:after="90" w:before="240"/>
      </w:pPr>
      <w:r>
        <w:rPr>
          <w:rFonts w:ascii="Calibri" w:cs="Calibri" w:eastAsia="Calibri" w:hAnsi="Calibri"/>
          <w:b/>
          <w:bCs/>
          <w:color w:val="8A4FBE"/>
          <w:sz w:val="25"/>
          <w:szCs w:val="25"/>
        </w:rPr>
        <w:t xml:space="preserve">5.5  Operational Dashboard</w:t>
      </w:r>
    </w:p>
    <w:p>
      <w:pPr>
        <w:spacing w:after="130" w:line="276"/>
        <w:jc w:val="both"/>
      </w:pPr>
      <w:r>
        <w:rPr>
          <w:rFonts w:ascii="Georgia" w:cs="Georgia" w:eastAsia="Georgia" w:hAnsi="Georgia"/>
          <w:color w:val="1B2430"/>
          <w:sz w:val="21"/>
          <w:szCs w:val="21"/>
        </w:rPr>
        <w:t xml:space="preserve">A single-pane dashboard exposes global metrics, a live field matrix with per-field status and confidence, and a slot evidence inspector where an operator reviews the three snapshots and, in one click, marks a slot USED / NOTUSED / confirms REVIEW. A schedule configurator edits slots and the sampler updates its timers. This human-in-the-loop design keeps the system trustworthy and generates labelled corrections for free.</w:t>
      </w:r>
    </w:p>
    <w:p>
      <w:pPr>
        <w:pStyle w:val="Heading1"/>
        <w:pageBreakBefore/>
        <w:spacing w:after="140" w:before="0"/>
      </w:pPr>
      <w:r>
        <w:rPr>
          <w:rFonts w:ascii="Calibri" w:cs="Calibri" w:eastAsia="Calibri" w:hAnsi="Calibri"/>
          <w:b/>
          <w:bCs/>
          <w:color w:val="5B3E8E"/>
          <w:sz w:val="30"/>
          <w:szCs w:val="30"/>
        </w:rPr>
        <w:t xml:space="preserve">6.  Preliminary Experiments, Statistical Analysis &amp; Threats</w:t>
      </w:r>
    </w:p>
    <w:p>
      <w:pPr>
        <w:spacing w:after="130" w:line="276"/>
        <w:jc w:val="both"/>
      </w:pPr>
      <w:r>
        <w:rPr>
          <w:rFonts w:ascii="Georgia" w:cs="Georgia" w:eastAsia="Georgia" w:hAnsi="Georgia"/>
          <w:color w:val="1B2430"/>
          <w:sz w:val="21"/>
          <w:szCs w:val="21"/>
        </w:rPr>
        <w:t xml:space="preserve">A pilot benchmark de-risked the approach: seven models on 1,296 night-and-fog frames (1,036 train / 260 test, seed 42), plus two recorded slots run end-to-end through the full pipeline.</w:t>
      </w:r>
    </w:p>
    <w:p>
      <w:pPr>
        <w:pStyle w:val="Heading2"/>
        <w:spacing w:after="90" w:before="240"/>
      </w:pPr>
      <w:r>
        <w:rPr>
          <w:rFonts w:ascii="Calibri" w:cs="Calibri" w:eastAsia="Calibri" w:hAnsi="Calibri"/>
          <w:b/>
          <w:bCs/>
          <w:color w:val="8A4FBE"/>
          <w:sz w:val="25"/>
          <w:szCs w:val="25"/>
        </w:rPr>
        <w:t xml:space="preserve">6.1  Benchmark Results</w:t>
      </w:r>
    </w:p>
    <w:tbl>
      <w:tblPr>
        <w:tblW w:type="dxa" w:w="10800"/>
        <w:tblBorders>
          <w:top w:val="single" w:color="C9BFDD" w:sz="4"/>
          <w:left w:val="single" w:color="C9BFDD" w:sz="4"/>
          <w:bottom w:val="single" w:color="C9BFDD" w:sz="4"/>
          <w:right w:val="single" w:color="C9BFDD" w:sz="4"/>
          <w:insideH w:val="single" w:color="C9BFDD" w:sz="4"/>
          <w:insideV w:val="single" w:color="C9BFDD" w:sz="4"/>
        </w:tblBorders>
      </w:tblPr>
      <w:tblGrid>
        <w:gridCol w:w="500"/>
        <w:gridCol w:w="3000"/>
        <w:gridCol w:w="2400"/>
        <w:gridCol w:w="1500"/>
        <w:gridCol w:w="1400"/>
        <w:gridCol w:w="2000"/>
      </w:tblGrid>
      <w:tr>
        <w:trPr>
          <w:tblHeader/>
        </w:trPr>
        <w:tc>
          <w:tcPr>
            <w:tcW w:type="dxa" w:w="5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t>
            </w:r>
          </w:p>
        </w:tc>
        <w:tc>
          <w:tcPr>
            <w:tcW w:type="dxa" w:w="30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Model</w:t>
            </w:r>
          </w:p>
        </w:tc>
        <w:tc>
          <w:tcPr>
            <w:tcW w:type="dxa" w:w="24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Trained on our data</w:t>
            </w:r>
          </w:p>
        </w:tc>
        <w:tc>
          <w:tcPr>
            <w:tcW w:type="dxa" w:w="15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Accuracy</w:t>
            </w:r>
          </w:p>
        </w:tc>
        <w:tc>
          <w:tcPr>
            <w:tcW w:type="dxa" w:w="14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ms/frame</w:t>
            </w:r>
          </w:p>
        </w:tc>
        <w:tc>
          <w:tcPr>
            <w:tcW w:type="dxa" w:w="20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Verdict</w:t>
            </w:r>
          </w:p>
        </w:tc>
      </w:tr>
      <w:tr>
        <w:tc>
          <w:tcPr>
            <w:tcW w:type="dxa" w:w="5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1</w:t>
            </w:r>
          </w:p>
        </w:tc>
        <w:tc>
          <w:tcPr>
            <w:tcW w:type="dxa" w:w="3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ViT-Base + head</w:t>
            </w:r>
          </w:p>
        </w:tc>
        <w:tc>
          <w:tcPr>
            <w:tcW w:type="dxa" w:w="2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Head only</w:t>
            </w:r>
          </w:p>
        </w:tc>
        <w:tc>
          <w:tcPr>
            <w:tcW w:type="dxa" w:w="15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99.2%</w:t>
            </w:r>
          </w:p>
        </w:tc>
        <w:tc>
          <w:tcPr>
            <w:tcW w:type="dxa" w:w="1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203</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Keep (accuracy ref.)</w:t>
            </w:r>
          </w:p>
        </w:tc>
      </w:tr>
      <w:tr>
        <w:tc>
          <w:tcPr>
            <w:tcW w:type="dxa" w:w="5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2</w:t>
            </w:r>
          </w:p>
        </w:tc>
        <w:tc>
          <w:tcPr>
            <w:tcW w:type="dxa" w:w="3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DINOv2-Base + head</w:t>
            </w:r>
          </w:p>
        </w:tc>
        <w:tc>
          <w:tcPr>
            <w:tcW w:type="dxa" w:w="2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Head only</w:t>
            </w:r>
          </w:p>
        </w:tc>
        <w:tc>
          <w:tcPr>
            <w:tcW w:type="dxa" w:w="15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98.5%</w:t>
            </w:r>
          </w:p>
        </w:tc>
        <w:tc>
          <w:tcPr>
            <w:tcW w:type="dxa" w:w="1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254</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Keep (robustness)</w:t>
            </w:r>
          </w:p>
        </w:tc>
      </w:tr>
      <w:tr>
        <w:tc>
          <w:tcPr>
            <w:tcW w:type="dxa" w:w="5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3</w:t>
            </w:r>
          </w:p>
        </w:tc>
        <w:tc>
          <w:tcPr>
            <w:tcW w:type="dxa" w:w="3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ConvNeXtV2-Tiny + head</w:t>
            </w:r>
          </w:p>
        </w:tc>
        <w:tc>
          <w:tcPr>
            <w:tcW w:type="dxa" w:w="2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Head only</w:t>
            </w:r>
          </w:p>
        </w:tc>
        <w:tc>
          <w:tcPr>
            <w:tcW w:type="dxa" w:w="15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98.1%</w:t>
            </w:r>
          </w:p>
        </w:tc>
        <w:tc>
          <w:tcPr>
            <w:tcW w:type="dxa" w:w="1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102</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Production lean</w:t>
            </w:r>
          </w:p>
        </w:tc>
      </w:tr>
      <w:tr>
        <w:tc>
          <w:tcPr>
            <w:tcW w:type="dxa" w:w="5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4</w:t>
            </w:r>
          </w:p>
        </w:tc>
        <w:tc>
          <w:tcPr>
            <w:tcW w:type="dxa" w:w="3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OpenCLIP B/32</w:t>
            </w:r>
          </w:p>
        </w:tc>
        <w:tc>
          <w:tcPr>
            <w:tcW w:type="dxa" w:w="2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No — zero-shot</w:t>
            </w:r>
          </w:p>
        </w:tc>
        <w:tc>
          <w:tcPr>
            <w:tcW w:type="dxa" w:w="15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75.8%</w:t>
            </w:r>
          </w:p>
        </w:tc>
        <w:tc>
          <w:tcPr>
            <w:tcW w:type="dxa" w:w="1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247</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Fallback / cold-start</w:t>
            </w:r>
          </w:p>
        </w:tc>
      </w:tr>
      <w:tr>
        <w:tc>
          <w:tcPr>
            <w:tcW w:type="dxa" w:w="5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5</w:t>
            </w:r>
          </w:p>
        </w:tc>
        <w:tc>
          <w:tcPr>
            <w:tcW w:type="dxa" w:w="3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CLIP B/32</w:t>
            </w:r>
          </w:p>
        </w:tc>
        <w:tc>
          <w:tcPr>
            <w:tcW w:type="dxa" w:w="2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No — zero-shot</w:t>
            </w:r>
          </w:p>
        </w:tc>
        <w:tc>
          <w:tcPr>
            <w:tcW w:type="dxa" w:w="15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65.4%</w:t>
            </w:r>
          </w:p>
        </w:tc>
        <w:tc>
          <w:tcPr>
            <w:tcW w:type="dxa" w:w="1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212</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Drop from primary</w:t>
            </w:r>
          </w:p>
        </w:tc>
      </w:tr>
      <w:tr>
        <w:tc>
          <w:tcPr>
            <w:tcW w:type="dxa" w:w="5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6</w:t>
            </w:r>
          </w:p>
        </w:tc>
        <w:tc>
          <w:tcPr>
            <w:tcW w:type="dxa" w:w="3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CLIP L/14</w:t>
            </w:r>
          </w:p>
        </w:tc>
        <w:tc>
          <w:tcPr>
            <w:tcW w:type="dxa" w:w="2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No — zero-shot</w:t>
            </w:r>
          </w:p>
        </w:tc>
        <w:tc>
          <w:tcPr>
            <w:tcW w:type="dxa" w:w="15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35.4%</w:t>
            </w:r>
          </w:p>
        </w:tc>
        <w:tc>
          <w:tcPr>
            <w:tcW w:type="dxa" w:w="1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1,404</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Drop</w:t>
            </w:r>
          </w:p>
        </w:tc>
      </w:tr>
      <w:tr>
        <w:tc>
          <w:tcPr>
            <w:tcW w:type="dxa" w:w="5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7</w:t>
            </w:r>
          </w:p>
        </w:tc>
        <w:tc>
          <w:tcPr>
            <w:tcW w:type="dxa" w:w="3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SigLIP2-Base</w:t>
            </w:r>
          </w:p>
        </w:tc>
        <w:tc>
          <w:tcPr>
            <w:tcW w:type="dxa" w:w="2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No — zero-shot</w:t>
            </w:r>
          </w:p>
        </w:tc>
        <w:tc>
          <w:tcPr>
            <w:tcW w:type="dxa" w:w="15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31.9%</w:t>
            </w:r>
          </w:p>
        </w:tc>
        <w:tc>
          <w:tcPr>
            <w:tcW w:type="dxa" w:w="1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1,035</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Drop as Tier-1</w:t>
            </w:r>
          </w:p>
        </w:tc>
      </w:tr>
    </w:tbl>
    <w:p>
      <w:pPr>
        <w:spacing w:after="130" w:line="276"/>
        <w:jc w:val="both"/>
      </w:pPr>
      <w:r>
        <w:rPr>
          <w:rFonts w:ascii="Georgia" w:cs="Georgia" w:eastAsia="Georgia" w:hAnsi="Georgia"/>
          <w:color w:val="1B2430"/>
          <w:sz w:val="21"/>
          <w:szCs w:val="21"/>
        </w:rPr>
        <w:t xml:space="preserve">Two lessons emerged. A shock 38% ViT score was traced to the harness reading a randomly initialised pooler instead of real features — verify surprising results before blaming the model. And OpenCLIP beat architecturally identical OpenAI CLIP by ~10 points purely from richer training data.</w:t>
      </w:r>
    </w:p>
    <w:p>
      <w:pPr>
        <w:pStyle w:val="Heading2"/>
        <w:spacing w:after="90" w:before="240"/>
      </w:pPr>
      <w:r>
        <w:rPr>
          <w:rFonts w:ascii="Calibri" w:cs="Calibri" w:eastAsia="Calibri" w:hAnsi="Calibri"/>
          <w:b/>
          <w:bCs/>
          <w:color w:val="8A4FBE"/>
          <w:sz w:val="25"/>
          <w:szCs w:val="25"/>
        </w:rPr>
        <w:t xml:space="preserve">6.2  Statistical Analysis</w:t>
      </w:r>
    </w:p>
    <w:p>
      <w:pPr>
        <w:spacing w:after="130" w:line="276"/>
        <w:jc w:val="both"/>
      </w:pPr>
      <w:r>
        <w:rPr>
          <w:rFonts w:ascii="Georgia" w:cs="Georgia" w:eastAsia="Georgia" w:hAnsi="Georgia"/>
          <w:color w:val="1B2430"/>
          <w:sz w:val="21"/>
          <w:szCs w:val="21"/>
        </w:rPr>
        <w:t xml:space="preserve">Because the test set is small (260 frames), raw accuracy gaps can be within noise. The thesis reports 95% confidence intervals via bootstrap resampling and compares classifiers pairwise with </w:t>
      </w:r>
      <w:r>
        <w:rPr>
          <w:rFonts w:ascii="Georgia" w:cs="Georgia" w:eastAsia="Georgia" w:hAnsi="Georgia"/>
          <w:b/>
          <w:bCs/>
          <w:color w:val="1B2430"/>
          <w:sz w:val="21"/>
          <w:szCs w:val="21"/>
        </w:rPr>
        <w:t xml:space="preserve">McNemar's test</w:t>
      </w:r>
      <w:r>
        <w:rPr>
          <w:rFonts w:ascii="Georgia" w:cs="Georgia" w:eastAsia="Georgia" w:hAnsi="Georgia"/>
          <w:color w:val="1B2430"/>
          <w:sz w:val="21"/>
          <w:szCs w:val="21"/>
        </w:rPr>
        <w:t xml:space="preserve"> on per-sample correctness. The top three pilot models differ by only 2–5 errors on 260 frames, which McNemar's test is expected to render statistically indistinguishable — which is precisely why the production model is chosen on latency and footprint, </w:t>
      </w:r>
      <w:r>
        <w:rPr>
          <w:rFonts w:ascii="Georgia" w:cs="Georgia" w:eastAsia="Georgia" w:hAnsi="Georgia"/>
          <w:i/>
          <w:iCs/>
          <w:color w:val="1B2430"/>
          <w:sz w:val="21"/>
          <w:szCs w:val="21"/>
        </w:rPr>
        <w:t xml:space="preserve">not accuracy alone</w:t>
      </w:r>
      <w:r>
        <w:rPr>
          <w:rFonts w:ascii="Georgia" w:cs="Georgia" w:eastAsia="Georgia" w:hAnsi="Georgia"/>
          <w:color w:val="1B2430"/>
          <w:sz w:val="21"/>
          <w:szCs w:val="21"/>
        </w:rPr>
        <w:t xml:space="preserve">. On the multi-venue dataset these tests are re-run with adequate per-class support, and macro-F1 (not just accuracy) becomes the headline metric.</w:t>
      </w:r>
    </w:p>
    <w:p>
      <w:pPr>
        <w:pStyle w:val="Heading2"/>
        <w:spacing w:after="90" w:before="240"/>
      </w:pPr>
      <w:r>
        <w:rPr>
          <w:rFonts w:ascii="Calibri" w:cs="Calibri" w:eastAsia="Calibri" w:hAnsi="Calibri"/>
          <w:b/>
          <w:bCs/>
          <w:color w:val="8A4FBE"/>
          <w:sz w:val="25"/>
          <w:szCs w:val="25"/>
        </w:rPr>
        <w:t xml:space="preserve">6.3  Error Analysis and Explainability</w:t>
      </w:r>
    </w:p>
    <w:p>
      <w:pPr>
        <w:spacing w:after="130" w:line="276"/>
        <w:jc w:val="both"/>
      </w:pPr>
      <w:r>
        <w:rPr>
          <w:rFonts w:ascii="Georgia" w:cs="Georgia" w:eastAsia="Georgia" w:hAnsi="Georgia"/>
          <w:color w:val="1B2430"/>
          <w:sz w:val="21"/>
          <w:szCs w:val="21"/>
        </w:rPr>
        <w:t xml:space="preserve">A structured error taxonomy will categorise every misclassification by condition (fog, night, glare, clutter), class confusion, and camera. To confirm the models rely on the pitch rather than spurious background cues, attention-rollout maps (ViT/DINOv2) and Grad-CAM (ConvNeXt) will visualise the regions driving each prediction — a sanity check on ROI masking that also builds examiner and operator trust.</w:t>
      </w:r>
    </w:p>
    <w:p>
      <w:pPr>
        <w:pStyle w:val="Heading2"/>
        <w:spacing w:after="90" w:before="240"/>
      </w:pPr>
      <w:r>
        <w:rPr>
          <w:rFonts w:ascii="Calibri" w:cs="Calibri" w:eastAsia="Calibri" w:hAnsi="Calibri"/>
          <w:b/>
          <w:bCs/>
          <w:color w:val="8A4FBE"/>
          <w:sz w:val="25"/>
          <w:szCs w:val="25"/>
        </w:rPr>
        <w:t xml:space="preserve">6.4  Honest Reading of the Numbers</w:t>
      </w:r>
    </w:p>
    <w:p>
      <w:pPr>
        <w:spacing w:after="130" w:line="276"/>
        <w:jc w:val="both"/>
      </w:pPr>
      <w:r>
        <w:rPr>
          <w:rFonts w:ascii="Georgia" w:cs="Georgia" w:eastAsia="Georgia" w:hAnsi="Georgia"/>
          <w:color w:val="1B2430"/>
          <w:sz w:val="21"/>
          <w:szCs w:val="21"/>
        </w:rPr>
        <w:t xml:space="preserve">The results are promising but must not be over-claimed. Macro-F1 is only ~0.66 despite 98–99% accuracy, because two classes had just 6 and 0 test samples — a </w:t>
      </w:r>
      <w:r>
        <w:rPr>
          <w:rFonts w:ascii="Georgia" w:cs="Georgia" w:eastAsia="Georgia" w:hAnsi="Georgia"/>
          <w:b/>
          <w:bCs/>
          <w:color w:val="1B2430"/>
          <w:sz w:val="21"/>
          <w:szCs w:val="21"/>
        </w:rPr>
        <w:t xml:space="preserve">dataset gap, not model quality</w:t>
      </w:r>
      <w:r>
        <w:rPr>
          <w:rFonts w:ascii="Georgia" w:cs="Georgia" w:eastAsia="Georgia" w:hAnsi="Georgia"/>
          <w:color w:val="1B2430"/>
          <w:sz w:val="21"/>
          <w:szCs w:val="21"/>
        </w:rPr>
        <w:t xml:space="preserve">. The evaluation is same-scene: a feasibility signal, not a production guarantee. Every caveat is addressed by the multi-venue collection and leakage-free evaluation of Chapter 3.</w:t>
      </w:r>
    </w:p>
    <w:p>
      <w:pPr>
        <w:pStyle w:val="Heading2"/>
        <w:spacing w:after="90" w:before="240"/>
      </w:pPr>
      <w:r>
        <w:rPr>
          <w:rFonts w:ascii="Calibri" w:cs="Calibri" w:eastAsia="Calibri" w:hAnsi="Calibri"/>
          <w:b/>
          <w:bCs/>
          <w:color w:val="8A4FBE"/>
          <w:sz w:val="25"/>
          <w:szCs w:val="25"/>
        </w:rPr>
        <w:t xml:space="preserve">6.5  Threats to Validity</w:t>
      </w:r>
    </w:p>
    <w:tbl>
      <w:tblPr>
        <w:tblW w:type="dxa" w:w="9700"/>
        <w:tblBorders>
          <w:top w:val="single" w:color="C9BFDD" w:sz="4"/>
          <w:left w:val="single" w:color="C9BFDD" w:sz="4"/>
          <w:bottom w:val="single" w:color="C9BFDD" w:sz="4"/>
          <w:right w:val="single" w:color="C9BFDD" w:sz="4"/>
          <w:insideH w:val="single" w:color="C9BFDD" w:sz="4"/>
          <w:insideV w:val="single" w:color="C9BFDD" w:sz="4"/>
        </w:tblBorders>
      </w:tblPr>
      <w:tblGrid>
        <w:gridCol w:w="1900"/>
        <w:gridCol w:w="4000"/>
        <w:gridCol w:w="3800"/>
      </w:tblGrid>
      <w:tr>
        <w:trPr>
          <w:tblHeader/>
        </w:trPr>
        <w:tc>
          <w:tcPr>
            <w:tcW w:type="dxa" w:w="19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Threat</w:t>
            </w:r>
          </w:p>
        </w:tc>
        <w:tc>
          <w:tcPr>
            <w:tcW w:type="dxa" w:w="40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Description</w:t>
            </w:r>
          </w:p>
        </w:tc>
        <w:tc>
          <w:tcPr>
            <w:tcW w:type="dxa" w:w="38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Mitigation</w:t>
            </w:r>
          </w:p>
        </w:tc>
      </w:tr>
      <w:tr>
        <w:tc>
          <w:tcPr>
            <w:tcW w:type="dxa" w:w="19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Data leakage</w:t>
            </w:r>
          </w:p>
        </w:tc>
        <w:tc>
          <w:tcPr>
            <w:tcW w:type="dxa" w:w="4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Near-identical frames on both sides of the split</w:t>
            </w:r>
          </w:p>
        </w:tc>
        <w:tc>
          <w:tcPr>
            <w:tcW w:type="dxa" w:w="38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Grouped (venue×day×slot) and leave-one-venue-out splits</w:t>
            </w:r>
          </w:p>
        </w:tc>
      </w:tr>
      <w:tr>
        <w:tc>
          <w:tcPr>
            <w:tcW w:type="dxa" w:w="19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Class imbalance</w:t>
            </w:r>
          </w:p>
        </w:tc>
        <w:tc>
          <w:tcPr>
            <w:tcW w:type="dxa" w:w="4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Maintenance class starved (0–6 samples)</w:t>
            </w:r>
          </w:p>
        </w:tc>
        <w:tc>
          <w:tcPr>
            <w:tcW w:type="dxa" w:w="38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Targeted collection + class weighting + macro-F1</w:t>
            </w:r>
          </w:p>
        </w:tc>
      </w:tr>
      <w:tr>
        <w:tc>
          <w:tcPr>
            <w:tcW w:type="dxa" w:w="19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Scene overfitting</w:t>
            </w:r>
          </w:p>
        </w:tc>
        <w:tc>
          <w:tcPr>
            <w:tcW w:type="dxa" w:w="4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Single-facility data may not generalise</w:t>
            </w:r>
          </w:p>
        </w:tc>
        <w:tc>
          <w:tcPr>
            <w:tcW w:type="dxa" w:w="38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Multi-venue collection; cross-venue test</w:t>
            </w:r>
          </w:p>
        </w:tc>
      </w:tr>
      <w:tr>
        <w:tc>
          <w:tcPr>
            <w:tcW w:type="dxa" w:w="19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Miscalibration</w:t>
            </w:r>
          </w:p>
        </w:tc>
        <w:tc>
          <w:tcPr>
            <w:tcW w:type="dxa" w:w="4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Thresholded decisions assume trustworthy scores</w:t>
            </w:r>
          </w:p>
        </w:tc>
        <w:tc>
          <w:tcPr>
            <w:tcW w:type="dxa" w:w="38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Calibration analysis + threshold/STAN tuning</w:t>
            </w:r>
          </w:p>
        </w:tc>
      </w:tr>
      <w:tr>
        <w:tc>
          <w:tcPr>
            <w:tcW w:type="dxa" w:w="19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Context leakage</w:t>
            </w:r>
          </w:p>
        </w:tc>
        <w:tc>
          <w:tcPr>
            <w:tcW w:type="dxa" w:w="4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Multimodal head may lean on booking flag</w:t>
            </w:r>
          </w:p>
        </w:tc>
        <w:tc>
          <w:tcPr>
            <w:tcW w:type="dxa" w:w="38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Flag dropout; adversarial ablation; vision-only path kept</w:t>
            </w:r>
          </w:p>
        </w:tc>
      </w:tr>
      <w:tr>
        <w:tc>
          <w:tcPr>
            <w:tcW w:type="dxa" w:w="19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Concept drift</w:t>
            </w:r>
          </w:p>
        </w:tc>
        <w:tc>
          <w:tcPr>
            <w:tcW w:type="dxa" w:w="4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Seasons, camera dirt, new events shift data</w:t>
            </w:r>
          </w:p>
        </w:tc>
        <w:tc>
          <w:tcPr>
            <w:tcW w:type="dxa" w:w="38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Baseline-drift alerts; periodic head re-fit from overrides</w:t>
            </w:r>
          </w:p>
        </w:tc>
      </w:tr>
    </w:tbl>
    <w:p>
      <w:pPr>
        <w:pStyle w:val="Heading1"/>
        <w:pageBreakBefore/>
        <w:spacing w:after="140" w:before="0"/>
      </w:pPr>
      <w:r>
        <w:rPr>
          <w:rFonts w:ascii="Calibri" w:cs="Calibri" w:eastAsia="Calibri" w:hAnsi="Calibri"/>
          <w:b/>
          <w:bCs/>
          <w:color w:val="5B3E8E"/>
          <w:sz w:val="30"/>
          <w:szCs w:val="30"/>
        </w:rPr>
        <w:t xml:space="preserve">7.  Client Deployment Plan and Booking Reconciliation</w:t>
      </w:r>
    </w:p>
    <w:p>
      <w:pPr>
        <w:spacing w:after="130" w:line="276"/>
        <w:jc w:val="both"/>
      </w:pPr>
      <w:r>
        <w:rPr>
          <w:rFonts w:ascii="Georgia" w:cs="Georgia" w:eastAsia="Georgia" w:hAnsi="Georgia"/>
          <w:color w:val="1B2430"/>
          <w:sz w:val="21"/>
          <w:szCs w:val="21"/>
        </w:rPr>
        <w:t xml:space="preserve">This chapter turns the prototype into a deployable service and introduces the reconciliation layer that gives the system its operational payoff.</w:t>
      </w:r>
    </w:p>
    <w:p>
      <w:pPr>
        <w:pStyle w:val="Heading2"/>
        <w:spacing w:after="90" w:before="240"/>
      </w:pPr>
      <w:r>
        <w:rPr>
          <w:rFonts w:ascii="Calibri" w:cs="Calibri" w:eastAsia="Calibri" w:hAnsi="Calibri"/>
          <w:b/>
          <w:bCs/>
          <w:color w:val="8A4FBE"/>
          <w:sz w:val="25"/>
          <w:szCs w:val="25"/>
        </w:rPr>
        <w:t xml:space="preserve">7.1  Phased Rollout</w:t>
      </w:r>
    </w:p>
    <w:tbl>
      <w:tblPr>
        <w:tblW w:type="dxa" w:w="9700"/>
        <w:tblBorders>
          <w:top w:val="single" w:color="C9BFDD" w:sz="4"/>
          <w:left w:val="single" w:color="C9BFDD" w:sz="4"/>
          <w:bottom w:val="single" w:color="C9BFDD" w:sz="4"/>
          <w:right w:val="single" w:color="C9BFDD" w:sz="4"/>
          <w:insideH w:val="single" w:color="C9BFDD" w:sz="4"/>
          <w:insideV w:val="single" w:color="C9BFDD" w:sz="4"/>
        </w:tblBorders>
      </w:tblPr>
      <w:tblGrid>
        <w:gridCol w:w="2100"/>
        <w:gridCol w:w="1800"/>
        <w:gridCol w:w="4000"/>
        <w:gridCol w:w="1800"/>
      </w:tblGrid>
      <w:tr>
        <w:trPr>
          <w:tblHeader/>
        </w:trPr>
        <w:tc>
          <w:tcPr>
            <w:tcW w:type="dxa" w:w="21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Phase</w:t>
            </w:r>
          </w:p>
        </w:tc>
        <w:tc>
          <w:tcPr>
            <w:tcW w:type="dxa" w:w="18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Focus</w:t>
            </w:r>
          </w:p>
        </w:tc>
        <w:tc>
          <w:tcPr>
            <w:tcW w:type="dxa" w:w="40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Key activities</w:t>
            </w:r>
          </w:p>
        </w:tc>
        <w:tc>
          <w:tcPr>
            <w:tcW w:type="dxa" w:w="18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Exit criterion</w:t>
            </w:r>
          </w:p>
        </w:tc>
      </w:tr>
      <w:tr>
        <w:tc>
          <w:tcPr>
            <w:tcW w:type="dxa" w:w="21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P1 — Simulation</w:t>
            </w:r>
          </w:p>
        </w:tc>
        <w:tc>
          <w:tcPr>
            <w:tcW w:type="dxa" w:w="18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Software on mock feeds</w:t>
            </w:r>
          </w:p>
        </w:tc>
        <w:tc>
          <w:tcPr>
            <w:tcW w:type="dxa" w:w="4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Directory-based API serving recorded frames on a 60-s loop; full pipeline &amp; dashboard, no hardware</w:t>
            </w:r>
          </w:p>
        </w:tc>
        <w:tc>
          <w:tcPr>
            <w:tcW w:type="dxa" w:w="18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Pipeline runs end-to-end offline</w:t>
            </w:r>
          </w:p>
        </w:tc>
      </w:tr>
      <w:tr>
        <w:tc>
          <w:tcPr>
            <w:tcW w:type="dxa" w:w="21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P2 — Model integration</w:t>
            </w:r>
          </w:p>
        </w:tc>
        <w:tc>
          <w:tcPr>
            <w:tcW w:type="dxa" w:w="18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Vision + benchmark</w:t>
            </w:r>
          </w:p>
        </w:tc>
        <w:tc>
          <w:tcPr>
            <w:tcW w:type="dxa" w:w="4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Wire the production model; unit-test empty-vs-play; confirm &lt; 500 ms/frame CPU</w:t>
            </w:r>
          </w:p>
        </w:tc>
        <w:tc>
          <w:tcPr>
            <w:tcW w:type="dxa" w:w="18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Benchmark reproduced on target CPU</w:t>
            </w:r>
          </w:p>
        </w:tc>
      </w:tr>
      <w:tr>
        <w:tc>
          <w:tcPr>
            <w:tcW w:type="dxa" w:w="21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P3 — DB &amp; decision</w:t>
            </w:r>
          </w:p>
        </w:tc>
        <w:tc>
          <w:tcPr>
            <w:tcW w:type="dxa" w:w="18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Aggregation + storage</w:t>
            </w:r>
          </w:p>
        </w:tc>
        <w:tc>
          <w:tcPr>
            <w:tcW w:type="dxa" w:w="4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Slot aggregator (or STAN), thresholds, top-3 evidence; scheduler writing to DB</w:t>
            </w:r>
          </w:p>
        </w:tc>
        <w:tc>
          <w:tcPr>
            <w:tcW w:type="dxa" w:w="18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Correct verdicts on recorded slots</w:t>
            </w:r>
          </w:p>
        </w:tc>
      </w:tr>
      <w:tr>
        <w:tc>
          <w:tcPr>
            <w:tcW w:type="dxa" w:w="21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P4 — Dashboard &amp; override</w:t>
            </w:r>
          </w:p>
        </w:tc>
        <w:tc>
          <w:tcPr>
            <w:tcW w:type="dxa" w:w="18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Operator UI</w:t>
            </w:r>
          </w:p>
        </w:tc>
        <w:tc>
          <w:tcPr>
            <w:tcW w:type="dxa" w:w="4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Metrics, live matrix, evidence inspector, 1-click override, schedule editor</w:t>
            </w:r>
          </w:p>
        </w:tc>
        <w:tc>
          <w:tcPr>
            <w:tcW w:type="dxa" w:w="18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Manager review cycle &lt; 5 min/day</w:t>
            </w:r>
          </w:p>
        </w:tc>
      </w:tr>
      <w:tr>
        <w:tc>
          <w:tcPr>
            <w:tcW w:type="dxa" w:w="21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P5 — Hardware &amp; live</w:t>
            </w:r>
          </w:p>
        </w:tc>
        <w:tc>
          <w:tcPr>
            <w:tcW w:type="dxa" w:w="18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On-site launch</w:t>
            </w:r>
          </w:p>
        </w:tc>
        <w:tc>
          <w:tcPr>
            <w:tcW w:type="dxa" w:w="4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Install on Mini-PC; camera VLAN; RTSP-live; systemd auto-start; 48-h validation with staff</w:t>
            </w:r>
          </w:p>
        </w:tc>
        <w:tc>
          <w:tcPr>
            <w:tcW w:type="dxa" w:w="18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48-h live accuracy accepted</w:t>
            </w:r>
          </w:p>
        </w:tc>
      </w:tr>
    </w:tbl>
    <w:p>
      <w:pPr>
        <w:pStyle w:val="Heading2"/>
        <w:spacing w:after="90" w:before="240"/>
      </w:pPr>
      <w:r>
        <w:rPr>
          <w:rFonts w:ascii="Calibri" w:cs="Calibri" w:eastAsia="Calibri" w:hAnsi="Calibri"/>
          <w:b/>
          <w:bCs/>
          <w:color w:val="8A4FBE"/>
          <w:sz w:val="25"/>
          <w:szCs w:val="25"/>
        </w:rPr>
        <w:t xml:space="preserve">7.2  Hardware, Network and Storage</w:t>
      </w:r>
    </w:p>
    <w:p>
      <w:pPr>
        <w:spacing w:after="130" w:line="276"/>
        <w:jc w:val="both"/>
      </w:pPr>
      <w:r>
        <w:rPr>
          <w:rFonts w:ascii="Georgia" w:cs="Georgia" w:eastAsia="Georgia" w:hAnsi="Georgia"/>
          <w:color w:val="1B2430"/>
          <w:sz w:val="21"/>
          <w:szCs w:val="21"/>
        </w:rPr>
        <w:t xml:space="preserve">The target unit is a single Intel Core i7 Mini-PC with integrated graphics for hardware-accelerated decoding, 32 GB RAM, and a 1 TB NVMe SSD, drawing 35–65 W for 24/7 operation. Dual 2.5 GbE ports isolate the camera VLAN from the facility/dashboard VLAN. The snapshot strategy holds network load near 0.8 Mbps versus 60–90 Mbps for continuous streaming. A retention worker purges raw samples after a short window while keeping evidence JPEGs for a year, bounding disk use predictably.</w:t>
      </w:r>
    </w:p>
    <w:p>
      <w:pPr>
        <w:pStyle w:val="Heading2"/>
        <w:spacing w:after="90" w:before="240"/>
      </w:pPr>
      <w:r>
        <w:rPr>
          <w:rFonts w:ascii="Calibri" w:cs="Calibri" w:eastAsia="Calibri" w:hAnsi="Calibri"/>
          <w:b/>
          <w:bCs/>
          <w:color w:val="8A4FBE"/>
          <w:sz w:val="25"/>
          <w:szCs w:val="25"/>
        </w:rPr>
        <w:t xml:space="preserve">7.3  Booking Reconciliation — The Operational Contribution</w:t>
      </w:r>
    </w:p>
    <w:p>
      <w:pPr>
        <w:spacing w:after="130" w:line="276"/>
        <w:jc w:val="both"/>
      </w:pPr>
      <w:r>
        <w:rPr>
          <w:rFonts w:ascii="Georgia" w:cs="Georgia" w:eastAsia="Georgia" w:hAnsi="Georgia"/>
          <w:color w:val="1B2430"/>
          <w:sz w:val="21"/>
          <w:szCs w:val="21"/>
        </w:rPr>
        <w:t xml:space="preserve">The booking system holds what </w:t>
      </w:r>
      <w:r>
        <w:rPr>
          <w:rFonts w:ascii="Georgia" w:cs="Georgia" w:eastAsia="Georgia" w:hAnsi="Georgia"/>
          <w:i/>
          <w:iCs/>
          <w:color w:val="1B2430"/>
          <w:sz w:val="21"/>
          <w:szCs w:val="21"/>
        </w:rPr>
        <w:t xml:space="preserve">should</w:t>
      </w:r>
      <w:r>
        <w:rPr>
          <w:rFonts w:ascii="Georgia" w:cs="Georgia" w:eastAsia="Georgia" w:hAnsi="Georgia"/>
          <w:color w:val="1B2430"/>
          <w:sz w:val="21"/>
          <w:szCs w:val="21"/>
        </w:rPr>
        <w:t xml:space="preserve"> happen (booked slots) and what staff </w:t>
      </w:r>
      <w:r>
        <w:rPr>
          <w:rFonts w:ascii="Georgia" w:cs="Georgia" w:eastAsia="Georgia" w:hAnsi="Georgia"/>
          <w:i/>
          <w:iCs/>
          <w:color w:val="1B2430"/>
          <w:sz w:val="21"/>
          <w:szCs w:val="21"/>
        </w:rPr>
        <w:t xml:space="preserve">record</w:t>
      </w:r>
      <w:r>
        <w:rPr>
          <w:rFonts w:ascii="Georgia" w:cs="Georgia" w:eastAsia="Georgia" w:hAnsi="Georgia"/>
          <w:color w:val="1B2430"/>
          <w:sz w:val="21"/>
          <w:szCs w:val="21"/>
        </w:rPr>
        <w:t xml:space="preserve"> happened; the vision system observes what </w:t>
      </w:r>
      <w:r>
        <w:rPr>
          <w:rFonts w:ascii="Georgia" w:cs="Georgia" w:eastAsia="Georgia" w:hAnsi="Georgia"/>
          <w:i/>
          <w:iCs/>
          <w:color w:val="1B2430"/>
          <w:sz w:val="21"/>
          <w:szCs w:val="21"/>
        </w:rPr>
        <w:t xml:space="preserve">actually</w:t>
      </w:r>
      <w:r>
        <w:rPr>
          <w:rFonts w:ascii="Georgia" w:cs="Georgia" w:eastAsia="Georgia" w:hAnsi="Georgia"/>
          <w:color w:val="1B2430"/>
          <w:sz w:val="21"/>
          <w:szCs w:val="21"/>
        </w:rPr>
        <w:t xml:space="preserve"> happened. Reconciliation cross-checks all three per slot and raises typed anomalies — the formalisation of "reading the system's database to check staff are recording bookings correctly":</w:t>
      </w:r>
    </w:p>
    <w:tbl>
      <w:tblPr>
        <w:tblW w:type="dxa" w:w="9600"/>
        <w:tblBorders>
          <w:top w:val="single" w:color="C9BFDD" w:sz="4"/>
          <w:left w:val="single" w:color="C9BFDD" w:sz="4"/>
          <w:bottom w:val="single" w:color="C9BFDD" w:sz="4"/>
          <w:right w:val="single" w:color="C9BFDD" w:sz="4"/>
          <w:insideH w:val="single" w:color="C9BFDD" w:sz="4"/>
          <w:insideV w:val="single" w:color="C9BFDD" w:sz="4"/>
        </w:tblBorders>
      </w:tblPr>
      <w:tblGrid>
        <w:gridCol w:w="1400"/>
        <w:gridCol w:w="2600"/>
        <w:gridCol w:w="2000"/>
        <w:gridCol w:w="3600"/>
      </w:tblGrid>
      <w:tr>
        <w:trPr>
          <w:tblHeader/>
        </w:trPr>
        <w:tc>
          <w:tcPr>
            <w:tcW w:type="dxa" w:w="14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Booked?</w:t>
            </w:r>
          </w:p>
        </w:tc>
        <w:tc>
          <w:tcPr>
            <w:tcW w:type="dxa" w:w="26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Staff-recorded status</w:t>
            </w:r>
          </w:p>
        </w:tc>
        <w:tc>
          <w:tcPr>
            <w:tcW w:type="dxa" w:w="20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Vision verdict</w:t>
            </w:r>
          </w:p>
        </w:tc>
        <w:tc>
          <w:tcPr>
            <w:tcW w:type="dxa" w:w="36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Reconciliation outcome</w:t>
            </w:r>
          </w:p>
        </w:tc>
      </w:tr>
      <w:tr>
        <w:tc>
          <w:tcPr>
            <w:tcW w:type="dxa" w:w="1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Yes</w:t>
            </w:r>
          </w:p>
        </w:tc>
        <w:tc>
          <w:tcPr>
            <w:tcW w:type="dxa" w:w="26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Used</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USED</w:t>
            </w:r>
          </w:p>
        </w:tc>
        <w:tc>
          <w:tcPr>
            <w:tcW w:type="dxa" w:w="3600"/>
            <w:shd w:fill="FFFFFF" w:color="auto" w:val="clear"/>
            <w:tcMar>
              <w:top w:type="dxa" w:w="50"/>
              <w:left w:type="dxa" w:w="90"/>
              <w:bottom w:type="dxa" w:w="50"/>
              <w:right w:type="dxa" w:w="90"/>
            </w:tcMar>
          </w:tcPr>
          <w:p>
            <w:pPr>
              <w:spacing w:after="0"/>
            </w:pPr>
            <w:r>
              <w:rPr>
                <w:rFonts w:ascii="Georgia" w:cs="Georgia" w:eastAsia="Georgia" w:hAnsi="Georgia"/>
                <w:color w:val="1E6B2E"/>
                <w:sz w:val="18"/>
                <w:szCs w:val="18"/>
              </w:rPr>
              <w:t xml:space="preserve">✓ Consistent — confirmed play</w:t>
            </w:r>
          </w:p>
        </w:tc>
      </w:tr>
      <w:tr>
        <w:tc>
          <w:tcPr>
            <w:tcW w:type="dxa" w:w="1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Yes</w:t>
            </w:r>
          </w:p>
        </w:tc>
        <w:tc>
          <w:tcPr>
            <w:tcW w:type="dxa" w:w="26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Used</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NOTUSED</w:t>
            </w:r>
          </w:p>
        </w:tc>
        <w:tc>
          <w:tcPr>
            <w:tcW w:type="dxa" w:w="3600"/>
            <w:shd w:fill="F6F3FA" w:color="auto" w:val="clear"/>
            <w:tcMar>
              <w:top w:type="dxa" w:w="50"/>
              <w:left w:type="dxa" w:w="90"/>
              <w:bottom w:type="dxa" w:w="50"/>
              <w:right w:type="dxa" w:w="90"/>
            </w:tcMar>
          </w:tcPr>
          <w:p>
            <w:pPr>
              <w:spacing w:after="0"/>
            </w:pPr>
            <w:r>
              <w:rPr>
                <w:rFonts w:ascii="Georgia" w:cs="Georgia" w:eastAsia="Georgia" w:hAnsi="Georgia"/>
                <w:color w:val="9A6B00"/>
                <w:sz w:val="18"/>
                <w:szCs w:val="18"/>
              </w:rPr>
              <w:t xml:space="preserve">⚠ No-show / over-recorded — revenue/data error</w:t>
            </w:r>
          </w:p>
        </w:tc>
      </w:tr>
      <w:tr>
        <w:tc>
          <w:tcPr>
            <w:tcW w:type="dxa" w:w="1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Yes</w:t>
            </w:r>
          </w:p>
        </w:tc>
        <w:tc>
          <w:tcPr>
            <w:tcW w:type="dxa" w:w="26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Not used</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USED</w:t>
            </w:r>
          </w:p>
        </w:tc>
        <w:tc>
          <w:tcPr>
            <w:tcW w:type="dxa" w:w="3600"/>
            <w:shd w:fill="FFFFFF" w:color="auto" w:val="clear"/>
            <w:tcMar>
              <w:top w:type="dxa" w:w="50"/>
              <w:left w:type="dxa" w:w="90"/>
              <w:bottom w:type="dxa" w:w="50"/>
              <w:right w:type="dxa" w:w="90"/>
            </w:tcMar>
          </w:tcPr>
          <w:p>
            <w:pPr>
              <w:spacing w:after="0"/>
            </w:pPr>
            <w:r>
              <w:rPr>
                <w:rFonts w:ascii="Georgia" w:cs="Georgia" w:eastAsia="Georgia" w:hAnsi="Georgia"/>
                <w:color w:val="9A6B00"/>
                <w:sz w:val="18"/>
                <w:szCs w:val="18"/>
              </w:rPr>
              <w:t xml:space="preserve">⚠ Played but not recorded — entry error / missed check-in</w:t>
            </w:r>
          </w:p>
        </w:tc>
      </w:tr>
      <w:tr>
        <w:tc>
          <w:tcPr>
            <w:tcW w:type="dxa" w:w="1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No</w:t>
            </w:r>
          </w:p>
        </w:tc>
        <w:tc>
          <w:tcPr>
            <w:tcW w:type="dxa" w:w="26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USED</w:t>
            </w:r>
          </w:p>
        </w:tc>
        <w:tc>
          <w:tcPr>
            <w:tcW w:type="dxa" w:w="3600"/>
            <w:shd w:fill="F6F3FA" w:color="auto" w:val="clear"/>
            <w:tcMar>
              <w:top w:type="dxa" w:w="50"/>
              <w:left w:type="dxa" w:w="90"/>
              <w:bottom w:type="dxa" w:w="50"/>
              <w:right w:type="dxa" w:w="90"/>
            </w:tcMar>
          </w:tcPr>
          <w:p>
            <w:pPr>
              <w:spacing w:after="0"/>
            </w:pPr>
            <w:r>
              <w:rPr>
                <w:rFonts w:ascii="Georgia" w:cs="Georgia" w:eastAsia="Georgia" w:hAnsi="Georgia"/>
                <w:color w:val="9A6B00"/>
                <w:sz w:val="18"/>
                <w:szCs w:val="18"/>
              </w:rPr>
              <w:t xml:space="preserve">⚠ Unbooked usage — unauthorised or off-system booking</w:t>
            </w:r>
          </w:p>
        </w:tc>
      </w:tr>
      <w:tr>
        <w:tc>
          <w:tcPr>
            <w:tcW w:type="dxa" w:w="1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No</w:t>
            </w:r>
          </w:p>
        </w:tc>
        <w:tc>
          <w:tcPr>
            <w:tcW w:type="dxa" w:w="26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NOTUSED</w:t>
            </w:r>
          </w:p>
        </w:tc>
        <w:tc>
          <w:tcPr>
            <w:tcW w:type="dxa" w:w="3600"/>
            <w:shd w:fill="FFFFFF" w:color="auto" w:val="clear"/>
            <w:tcMar>
              <w:top w:type="dxa" w:w="50"/>
              <w:left w:type="dxa" w:w="90"/>
              <w:bottom w:type="dxa" w:w="50"/>
              <w:right w:type="dxa" w:w="90"/>
            </w:tcMar>
          </w:tcPr>
          <w:p>
            <w:pPr>
              <w:spacing w:after="0"/>
            </w:pPr>
            <w:r>
              <w:rPr>
                <w:rFonts w:ascii="Georgia" w:cs="Georgia" w:eastAsia="Georgia" w:hAnsi="Georgia"/>
                <w:color w:val="1E6B2E"/>
                <w:sz w:val="18"/>
                <w:szCs w:val="18"/>
              </w:rPr>
              <w:t xml:space="preserve">✓ Consistent — idle as expected</w:t>
            </w:r>
          </w:p>
        </w:tc>
      </w:tr>
      <w:tr>
        <w:tc>
          <w:tcPr>
            <w:tcW w:type="dxa" w:w="1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Any</w:t>
            </w:r>
          </w:p>
        </w:tc>
        <w:tc>
          <w:tcPr>
            <w:tcW w:type="dxa" w:w="26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Any</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REVIEW</w:t>
            </w:r>
          </w:p>
        </w:tc>
        <w:tc>
          <w:tcPr>
            <w:tcW w:type="dxa" w:w="3600"/>
            <w:shd w:fill="F6F3FA" w:color="auto" w:val="clear"/>
            <w:tcMar>
              <w:top w:type="dxa" w:w="50"/>
              <w:left w:type="dxa" w:w="90"/>
              <w:bottom w:type="dxa" w:w="50"/>
              <w:right w:type="dxa" w:w="90"/>
            </w:tcMar>
          </w:tcPr>
          <w:p>
            <w:pPr>
              <w:spacing w:after="0"/>
            </w:pPr>
            <w:r>
              <w:rPr>
                <w:rFonts w:ascii="Georgia" w:cs="Georgia" w:eastAsia="Georgia" w:hAnsi="Georgia"/>
                <w:color w:val="3A3A8A"/>
                <w:sz w:val="18"/>
                <w:szCs w:val="18"/>
              </w:rPr>
              <w:t xml:space="preserve">→ Route to human evidence inspector</w:t>
            </w:r>
          </w:p>
        </w:tc>
      </w:tr>
    </w:tbl>
    <w:p>
      <w:pPr>
        <w:spacing w:after="130" w:line="276"/>
        <w:jc w:val="both"/>
      </w:pPr>
      <w:r>
        <w:rPr>
          <w:rFonts w:ascii="Georgia" w:cs="Georgia" w:eastAsia="Georgia" w:hAnsi="Georgia"/>
          <w:color w:val="1B2430"/>
          <w:sz w:val="21"/>
          <w:szCs w:val="21"/>
        </w:rPr>
        <w:t xml:space="preserve">Each anomaly is logged with its three evidence snapshots for one-click adjudication. Aggregated over time, the log surfaces systematic problems: a staff member consistently mis-recording, a field with frequent no-shows, or slots used off-system. The override actions that resolve anomalies double as fresh ground-truth labels, feeding a periodic re-fit of the lightweight head at near-zero labelling cost.</w:t>
      </w:r>
    </w:p>
    <w:p>
      <w:pPr>
        <w:pStyle w:val="Heading3"/>
        <w:spacing w:after="70" w:before="170"/>
      </w:pPr>
      <w:r>
        <w:rPr>
          <w:rFonts w:ascii="Calibri" w:cs="Calibri" w:eastAsia="Calibri" w:hAnsi="Calibri"/>
          <w:b/>
          <w:bCs/>
          <w:color w:val="1B2430"/>
          <w:sz w:val="22"/>
          <w:szCs w:val="22"/>
        </w:rPr>
        <w:t xml:space="preserve">7.3.1  Implementation sketch</w:t>
      </w:r>
    </w:p>
    <w:p>
      <w:pPr>
        <w:pStyle w:val="ListParagraph"/>
        <w:numPr>
          <w:ilvl w:val="0"/>
          <w:numId w:val="3"/>
        </w:numPr>
        <w:spacing w:after="60" w:line="270"/>
        <w:jc w:val="left"/>
      </w:pPr>
      <w:r>
        <w:rPr>
          <w:rFonts w:ascii="Georgia" w:cs="Georgia" w:eastAsia="Georgia" w:hAnsi="Georgia"/>
          <w:color w:val="1B2430"/>
          <w:sz w:val="21"/>
          <w:szCs w:val="21"/>
        </w:rPr>
        <w:t xml:space="preserve">A reconciliation job runs after each slot closes, joining slot_evaluations with the booking and staff-entry tables on (field, date, slot).</w:t>
      </w:r>
    </w:p>
    <w:p>
      <w:pPr>
        <w:pStyle w:val="ListParagraph"/>
        <w:numPr>
          <w:ilvl w:val="0"/>
          <w:numId w:val="3"/>
        </w:numPr>
        <w:spacing w:after="60" w:line="270"/>
        <w:jc w:val="left"/>
      </w:pPr>
      <w:r>
        <w:rPr>
          <w:rFonts w:ascii="Georgia" w:cs="Georgia" w:eastAsia="Georgia" w:hAnsi="Georgia"/>
          <w:color w:val="1B2430"/>
          <w:sz w:val="21"/>
          <w:szCs w:val="21"/>
        </w:rPr>
        <w:t xml:space="preserve">It emits an anomaly record (type, severity, evidence links, staff id) only when vision and records disagree beyond the REVIEW band, keeping operator noise low.</w:t>
      </w:r>
    </w:p>
    <w:p>
      <w:pPr>
        <w:pStyle w:val="ListParagraph"/>
        <w:numPr>
          <w:ilvl w:val="0"/>
          <w:numId w:val="3"/>
        </w:numPr>
        <w:spacing w:after="60" w:line="270"/>
        <w:jc w:val="left"/>
      </w:pPr>
      <w:r>
        <w:rPr>
          <w:rFonts w:ascii="Georgia" w:cs="Georgia" w:eastAsia="Georgia" w:hAnsi="Georgia"/>
          <w:color w:val="1B2430"/>
          <w:sz w:val="21"/>
          <w:szCs w:val="21"/>
        </w:rPr>
        <w:t xml:space="preserve">Low-confidence or low-contrast slots go to REVIEW rather than hard anomalies, so the audit never over-accuses on poor footage.</w:t>
      </w:r>
    </w:p>
    <w:p>
      <w:pPr>
        <w:pStyle w:val="ListParagraph"/>
        <w:numPr>
          <w:ilvl w:val="0"/>
          <w:numId w:val="3"/>
        </w:numPr>
        <w:spacing w:after="60" w:line="270"/>
        <w:jc w:val="left"/>
      </w:pPr>
      <w:r>
        <w:rPr>
          <w:rFonts w:ascii="Georgia" w:cs="Georgia" w:eastAsia="Georgia" w:hAnsi="Georgia"/>
          <w:color w:val="1B2430"/>
          <w:sz w:val="21"/>
          <w:szCs w:val="21"/>
        </w:rPr>
        <w:t xml:space="preserve">A weekly summary quantifies discrepancy rates per field and per staff member, with drill-down to evidence.</w:t>
      </w:r>
    </w:p>
    <w:p>
      <w:pPr>
        <w:pStyle w:val="Heading2"/>
        <w:spacing w:after="90" w:before="240"/>
      </w:pPr>
      <w:r>
        <w:rPr>
          <w:rFonts w:ascii="Calibri" w:cs="Calibri" w:eastAsia="Calibri" w:hAnsi="Calibri"/>
          <w:b/>
          <w:bCs/>
          <w:color w:val="8A4FBE"/>
          <w:sz w:val="25"/>
          <w:szCs w:val="25"/>
        </w:rPr>
        <w:t xml:space="preserve">7.4  Monitoring, Maintenance and Drift</w:t>
      </w:r>
    </w:p>
    <w:p>
      <w:pPr>
        <w:spacing w:after="130" w:line="276"/>
        <w:jc w:val="both"/>
      </w:pPr>
      <w:r>
        <w:rPr>
          <w:rFonts w:ascii="Georgia" w:cs="Georgia" w:eastAsia="Georgia" w:hAnsi="Georgia"/>
          <w:color w:val="1B2430"/>
          <w:sz w:val="21"/>
          <w:szCs w:val="21"/>
        </w:rPr>
        <w:t xml:space="preserve">In production the system watches itself: a sudden confidence drop across a camera triggers a "lens needs cleaning" alert; per-field override rates act as a live proxy for model quality, and a rising rate prompts a cheap head re-fit on cached features — no GPU, no downtime.</w:t>
      </w:r>
    </w:p>
    <w:p>
      <w:pPr>
        <w:pStyle w:val="Heading1"/>
        <w:pageBreakBefore/>
        <w:spacing w:after="140" w:before="0"/>
      </w:pPr>
      <w:r>
        <w:rPr>
          <w:rFonts w:ascii="Calibri" w:cs="Calibri" w:eastAsia="Calibri" w:hAnsi="Calibri"/>
          <w:b/>
          <w:bCs/>
          <w:color w:val="5B3E8E"/>
          <w:sz w:val="30"/>
          <w:szCs w:val="30"/>
        </w:rPr>
        <w:t xml:space="preserve">8.  Extensions and Stretch Goals (If Ahead of Schedule)</w:t>
      </w:r>
    </w:p>
    <w:p>
      <w:pPr>
        <w:spacing w:after="130" w:line="276"/>
        <w:jc w:val="both"/>
      </w:pPr>
      <w:r>
        <w:rPr>
          <w:rFonts w:ascii="Georgia" w:cs="Georgia" w:eastAsia="Georgia" w:hAnsi="Georgia"/>
          <w:color w:val="1B2430"/>
          <w:sz w:val="21"/>
          <w:szCs w:val="21"/>
        </w:rPr>
        <w:t xml:space="preserve">If the core and target tiers finish early, the following extensions add depth and are ordered by value-to-effort. Each is scoped so it can be started and stopped independently without endangering the core thesis.</w:t>
      </w:r>
    </w:p>
    <w:tbl>
      <w:tblPr>
        <w:tblW w:type="dxa" w:w="10100"/>
        <w:tblBorders>
          <w:top w:val="single" w:color="C9BFDD" w:sz="4"/>
          <w:left w:val="single" w:color="C9BFDD" w:sz="4"/>
          <w:bottom w:val="single" w:color="C9BFDD" w:sz="4"/>
          <w:right w:val="single" w:color="C9BFDD" w:sz="4"/>
          <w:insideH w:val="single" w:color="C9BFDD" w:sz="4"/>
          <w:insideV w:val="single" w:color="C9BFDD" w:sz="4"/>
        </w:tblBorders>
      </w:tblPr>
      <w:tblGrid>
        <w:gridCol w:w="2600"/>
        <w:gridCol w:w="4300"/>
        <w:gridCol w:w="1200"/>
        <w:gridCol w:w="2000"/>
      </w:tblGrid>
      <w:tr>
        <w:trPr>
          <w:tblHeader/>
        </w:trPr>
        <w:tc>
          <w:tcPr>
            <w:tcW w:type="dxa" w:w="26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Extension</w:t>
            </w:r>
          </w:p>
        </w:tc>
        <w:tc>
          <w:tcPr>
            <w:tcW w:type="dxa" w:w="43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What it adds</w:t>
            </w:r>
          </w:p>
        </w:tc>
        <w:tc>
          <w:tcPr>
            <w:tcW w:type="dxa" w:w="12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Effort</w:t>
            </w:r>
          </w:p>
        </w:tc>
        <w:tc>
          <w:tcPr>
            <w:tcW w:type="dxa" w:w="20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Prerequisite</w:t>
            </w:r>
          </w:p>
        </w:tc>
      </w:tr>
      <w:tr>
        <w:tc>
          <w:tcPr>
            <w:tcW w:type="dxa" w:w="26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Self-supervised domain adaptation</w:t>
            </w:r>
          </w:p>
        </w:tc>
        <w:tc>
          <w:tcPr>
            <w:tcW w:type="dxa" w:w="43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Fine-tune a backbone (DINO/MAE-style) on the facility's own unlabelled frames so features fit this domain, not just web images — likely the biggest robustness win</w:t>
            </w:r>
          </w:p>
        </w:tc>
        <w:tc>
          <w:tcPr>
            <w:tcW w:type="dxa" w:w="12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High</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Unlabelled footage; some GPU time</w:t>
            </w:r>
          </w:p>
        </w:tc>
      </w:tr>
      <w:tr>
        <w:tc>
          <w:tcPr>
            <w:tcW w:type="dxa" w:w="26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Active learning + semi-supervised</w:t>
            </w:r>
          </w:p>
        </w:tc>
        <w:tc>
          <w:tcPr>
            <w:tcW w:type="dxa" w:w="43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Use model uncertainty to pick the most informative frames to label, and pseudo-label confident ones — cuts labelling cost and fixes imbalance</w:t>
            </w:r>
          </w:p>
        </w:tc>
        <w:tc>
          <w:tcPr>
            <w:tcW w:type="dxa" w:w="12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Medium</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Working classifier + unlabelled pool</w:t>
            </w:r>
          </w:p>
        </w:tc>
      </w:tr>
      <w:tr>
        <w:tc>
          <w:tcPr>
            <w:tcW w:type="dxa" w:w="26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DINOv3 integration</w:t>
            </w:r>
          </w:p>
        </w:tc>
        <w:tc>
          <w:tcPr>
            <w:tcW w:type="dxa" w:w="43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Add the licence-gated 2025 backbone as a likely-strongest candidate in the benchmark</w:t>
            </w:r>
          </w:p>
        </w:tc>
        <w:tc>
          <w:tcPr>
            <w:tcW w:type="dxa" w:w="12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Low</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HuggingFace licence access</w:t>
            </w:r>
          </w:p>
        </w:tc>
      </w:tr>
      <w:tr>
        <w:tc>
          <w:tcPr>
            <w:tcW w:type="dxa" w:w="26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Quantisation &amp; OpenVINO study</w:t>
            </w:r>
          </w:p>
        </w:tc>
        <w:tc>
          <w:tcPr>
            <w:tcW w:type="dxa" w:w="43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INT8 / OpenVINO export to roughly halve CPU latency; quantify the accuracy trade-off on target hardware</w:t>
            </w:r>
          </w:p>
        </w:tc>
        <w:tc>
          <w:tcPr>
            <w:tcW w:type="dxa" w:w="12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Low-Med</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Production model + target CPU</w:t>
            </w:r>
          </w:p>
        </w:tc>
      </w:tr>
      <w:tr>
        <w:tc>
          <w:tcPr>
            <w:tcW w:type="dxa" w:w="26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NL explanations for REVIEW</w:t>
            </w:r>
          </w:p>
        </w:tc>
        <w:tc>
          <w:tcPr>
            <w:tcW w:type="dxa" w:w="43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A compact vision–language model (e.g. Florence-2 / Moondream) writes a human-readable reason for each REVIEW slot</w:t>
            </w:r>
          </w:p>
        </w:tc>
        <w:tc>
          <w:tcPr>
            <w:tcW w:type="dxa" w:w="12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Medium</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REVIEW slots + evidence frames</w:t>
            </w:r>
          </w:p>
        </w:tc>
      </w:tr>
      <w:tr>
        <w:tc>
          <w:tcPr>
            <w:tcW w:type="dxa" w:w="26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Cold-start transfer curve</w:t>
            </w:r>
          </w:p>
        </w:tc>
        <w:tc>
          <w:tcPr>
            <w:tcW w:type="dxa" w:w="43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Measure how many labels a brand-new venue needs to reach target accuracy — a clean, publishable scientific result</w:t>
            </w:r>
          </w:p>
        </w:tc>
        <w:tc>
          <w:tcPr>
            <w:tcW w:type="dxa" w:w="12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Medium</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 2 venues of data</w:t>
            </w:r>
          </w:p>
        </w:tc>
      </w:tr>
      <w:tr>
        <w:tc>
          <w:tcPr>
            <w:tcW w:type="dxa" w:w="26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Camera-health prediction</w:t>
            </w:r>
          </w:p>
        </w:tc>
        <w:tc>
          <w:tcPr>
            <w:tcW w:type="dxa" w:w="43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Predictive maintenance from confidence-drift trends (dirt/glare) before a camera fails silently</w:t>
            </w:r>
          </w:p>
        </w:tc>
        <w:tc>
          <w:tcPr>
            <w:tcW w:type="dxa" w:w="12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Low</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Production confidence logs</w:t>
            </w:r>
          </w:p>
        </w:tc>
      </w:tr>
      <w:tr>
        <w:tc>
          <w:tcPr>
            <w:tcW w:type="dxa" w:w="26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Generalisation study</w:t>
            </w:r>
          </w:p>
        </w:tc>
        <w:tc>
          <w:tcPr>
            <w:tcW w:type="dxa" w:w="43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Extend taxonomy/reconciliation to grass pitches, other sports, or PTZ cameras</w:t>
            </w:r>
          </w:p>
        </w:tc>
        <w:tc>
          <w:tcPr>
            <w:tcW w:type="dxa" w:w="12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High</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Additional venue types</w:t>
            </w:r>
          </w:p>
        </w:tc>
      </w:tr>
      <w:tr>
        <w:tc>
          <w:tcPr>
            <w:tcW w:type="dxa" w:w="2600"/>
            <w:shd w:fill="FFFFFF"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Test-time augmentation &amp; smoothing</w:t>
            </w:r>
          </w:p>
        </w:tc>
        <w:tc>
          <w:tcPr>
            <w:tcW w:type="dxa" w:w="43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Average predictions over light augmentations and smooth across time to shave residual errors</w:t>
            </w:r>
          </w:p>
        </w:tc>
        <w:tc>
          <w:tcPr>
            <w:tcW w:type="dxa" w:w="12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Low</w:t>
            </w:r>
          </w:p>
        </w:tc>
        <w:tc>
          <w:tcPr>
            <w:tcW w:type="dxa" w:w="20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Working pipeline</w:t>
            </w:r>
          </w:p>
        </w:tc>
      </w:tr>
      <w:tr>
        <w:tc>
          <w:tcPr>
            <w:tcW w:type="dxa" w:w="2600"/>
            <w:shd w:fill="F6F3FA" w:color="auto" w:val="clear"/>
            <w:tcMar>
              <w:top w:type="dxa" w:w="50"/>
              <w:left w:type="dxa" w:w="90"/>
              <w:bottom w:type="dxa" w:w="50"/>
              <w:right w:type="dxa" w:w="90"/>
            </w:tcMar>
          </w:tcPr>
          <w:p>
            <w:pPr>
              <w:spacing w:after="0"/>
            </w:pPr>
            <w:r>
              <w:rPr>
                <w:rFonts w:ascii="Georgia" w:cs="Georgia" w:eastAsia="Georgia" w:hAnsi="Georgia"/>
                <w:b/>
                <w:bCs/>
                <w:color w:val="1B2430"/>
                <w:sz w:val="18"/>
                <w:szCs w:val="18"/>
              </w:rPr>
              <w:t xml:space="preserve">Product-isation</w:t>
            </w:r>
          </w:p>
        </w:tc>
        <w:tc>
          <w:tcPr>
            <w:tcW w:type="dxa" w:w="43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Multi-tenant support, alerting, and a mobile view for managers</w:t>
            </w:r>
          </w:p>
        </w:tc>
        <w:tc>
          <w:tcPr>
            <w:tcW w:type="dxa" w:w="12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High</w:t>
            </w:r>
          </w:p>
        </w:tc>
        <w:tc>
          <w:tcPr>
            <w:tcW w:type="dxa" w:w="20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Stable single-site system</w:t>
            </w:r>
          </w:p>
        </w:tc>
      </w:tr>
    </w:tbl>
    <w:p>
      <w:pPr>
        <w:spacing w:after="130" w:line="276"/>
        <w:jc w:val="both"/>
      </w:pPr>
      <w:r>
        <w:rPr>
          <w:rFonts w:ascii="Georgia" w:cs="Georgia" w:eastAsia="Georgia" w:hAnsi="Georgia"/>
          <w:b/>
          <w:bCs/>
          <w:color w:val="1B2430"/>
          <w:sz w:val="21"/>
          <w:szCs w:val="21"/>
        </w:rPr>
        <w:t xml:space="preserve">Recommended order if time allows: </w:t>
      </w:r>
      <w:r>
        <w:rPr>
          <w:rFonts w:ascii="Georgia" w:cs="Georgia" w:eastAsia="Georgia" w:hAnsi="Georgia"/>
          <w:color w:val="1B2430"/>
          <w:sz w:val="21"/>
          <w:szCs w:val="21"/>
        </w:rPr>
        <w:t xml:space="preserve">(1) DINOv3 and quantisation (cheap, high-visibility), (2) the cold-start transfer curve (a strong standalone result), (3) active/semi-supervised learning (compounds the data work), then (4) self-supervised domain adaptation as the flagship stretch contribution.</w:t>
      </w:r>
    </w:p>
    <w:p>
      <w:pPr>
        <w:pStyle w:val="Heading1"/>
        <w:pageBreakBefore/>
        <w:spacing w:after="140" w:before="0"/>
      </w:pPr>
      <w:r>
        <w:rPr>
          <w:rFonts w:ascii="Calibri" w:cs="Calibri" w:eastAsia="Calibri" w:hAnsi="Calibri"/>
          <w:b/>
          <w:bCs/>
          <w:color w:val="5B3E8E"/>
          <w:sz w:val="30"/>
          <w:szCs w:val="30"/>
        </w:rPr>
        <w:t xml:space="preserve">9.  Project Timeline and Milestones</w:t>
      </w:r>
    </w:p>
    <w:p>
      <w:pPr>
        <w:spacing w:after="130" w:line="276"/>
        <w:jc w:val="both"/>
      </w:pPr>
      <w:r>
        <w:rPr>
          <w:rFonts w:ascii="Georgia" w:cs="Georgia" w:eastAsia="Georgia" w:hAnsi="Georgia"/>
          <w:color w:val="1B2430"/>
          <w:sz w:val="21"/>
          <w:szCs w:val="21"/>
        </w:rPr>
        <w:t xml:space="preserve">A detailed week-by-week schedule with effort estimates, dependencies, and milestone gates is provided in the companion document </w:t>
      </w:r>
      <w:r>
        <w:rPr>
          <w:rFonts w:ascii="Georgia" w:cs="Georgia" w:eastAsia="Georgia" w:hAnsi="Georgia"/>
          <w:i/>
          <w:iCs/>
          <w:color w:val="1B2430"/>
          <w:sz w:val="21"/>
          <w:szCs w:val="21"/>
        </w:rPr>
        <w:t xml:space="preserve">"Thesis Schedule &amp; Effort Plan"</w:t>
      </w:r>
      <w:r>
        <w:rPr>
          <w:rFonts w:ascii="Georgia" w:cs="Georgia" w:eastAsia="Georgia" w:hAnsi="Georgia"/>
          <w:color w:val="1B2430"/>
          <w:sz w:val="21"/>
          <w:szCs w:val="21"/>
        </w:rPr>
        <w:t xml:space="preserve">. In summary, the work spans an indicative ~24-week (six-month) full-time programme across nine work packages:</w:t>
      </w:r>
    </w:p>
    <w:tbl>
      <w:tblPr>
        <w:tblW w:type="dxa" w:w="9700"/>
        <w:tblBorders>
          <w:top w:val="single" w:color="C9BFDD" w:sz="4"/>
          <w:left w:val="single" w:color="C9BFDD" w:sz="4"/>
          <w:bottom w:val="single" w:color="C9BFDD" w:sz="4"/>
          <w:right w:val="single" w:color="C9BFDD" w:sz="4"/>
          <w:insideH w:val="single" w:color="C9BFDD" w:sz="4"/>
          <w:insideV w:val="single" w:color="C9BFDD" w:sz="4"/>
        </w:tblBorders>
      </w:tblPr>
      <w:tblGrid>
        <w:gridCol w:w="3900"/>
        <w:gridCol w:w="2100"/>
        <w:gridCol w:w="3700"/>
      </w:tblGrid>
      <w:tr>
        <w:trPr>
          <w:tblHeader/>
        </w:trPr>
        <w:tc>
          <w:tcPr>
            <w:tcW w:type="dxa" w:w="39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Phase</w:t>
            </w:r>
          </w:p>
        </w:tc>
        <w:tc>
          <w:tcPr>
            <w:tcW w:type="dxa" w:w="21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Indicative weeks</w:t>
            </w:r>
          </w:p>
        </w:tc>
        <w:tc>
          <w:tcPr>
            <w:tcW w:type="dxa" w:w="37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Milestone gate</w:t>
            </w:r>
          </w:p>
        </w:tc>
      </w:tr>
      <w:tr>
        <w:tc>
          <w:tcPr>
            <w:tcW w:type="dxa" w:w="39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Setup, literature review, protocol</w:t>
            </w:r>
          </w:p>
        </w:tc>
        <w:tc>
          <w:tcPr>
            <w:tcW w:type="dxa" w:w="21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1–4</w:t>
            </w:r>
          </w:p>
        </w:tc>
        <w:tc>
          <w:tcPr>
            <w:tcW w:type="dxa" w:w="37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M1: approved protocol &amp; taxonomy</w:t>
            </w:r>
          </w:p>
        </w:tc>
      </w:tr>
      <w:tr>
        <w:tc>
          <w:tcPr>
            <w:tcW w:type="dxa" w:w="39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Multi-venue data collection &amp; labelling</w:t>
            </w:r>
          </w:p>
        </w:tc>
        <w:tc>
          <w:tcPr>
            <w:tcW w:type="dxa" w:w="21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3–9</w:t>
            </w:r>
          </w:p>
        </w:tc>
        <w:tc>
          <w:tcPr>
            <w:tcW w:type="dxa" w:w="37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M2: balanced, split-ready dataset</w:t>
            </w:r>
          </w:p>
        </w:tc>
      </w:tr>
      <w:tr>
        <w:tc>
          <w:tcPr>
            <w:tcW w:type="dxa" w:w="39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Preprocessing + leakage-free four-model benchmark</w:t>
            </w:r>
          </w:p>
        </w:tc>
        <w:tc>
          <w:tcPr>
            <w:tcW w:type="dxa" w:w="21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6–13</w:t>
            </w:r>
          </w:p>
        </w:tc>
        <w:tc>
          <w:tcPr>
            <w:tcW w:type="dxa" w:w="37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M3: statistically analysed benchmark</w:t>
            </w:r>
          </w:p>
        </w:tc>
      </w:tr>
      <w:tr>
        <w:tc>
          <w:tcPr>
            <w:tcW w:type="dxa" w:w="39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Novel architectures (STAN, fusion, context)</w:t>
            </w:r>
          </w:p>
        </w:tc>
        <w:tc>
          <w:tcPr>
            <w:tcW w:type="dxa" w:w="21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12–18</w:t>
            </w:r>
          </w:p>
        </w:tc>
        <w:tc>
          <w:tcPr>
            <w:tcW w:type="dxa" w:w="37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M4: ablations with significance tests</w:t>
            </w:r>
          </w:p>
        </w:tc>
      </w:tr>
      <w:tr>
        <w:tc>
          <w:tcPr>
            <w:tcW w:type="dxa" w:w="39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System integration + reconciliation</w:t>
            </w:r>
          </w:p>
        </w:tc>
        <w:tc>
          <w:tcPr>
            <w:tcW w:type="dxa" w:w="21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14–19</w:t>
            </w:r>
          </w:p>
        </w:tc>
        <w:tc>
          <w:tcPr>
            <w:tcW w:type="dxa" w:w="37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M5: end-to-end system on mock feeds</w:t>
            </w:r>
          </w:p>
        </w:tc>
      </w:tr>
      <w:tr>
        <w:tc>
          <w:tcPr>
            <w:tcW w:type="dxa" w:w="39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Deployment + 48-hour live validation</w:t>
            </w:r>
          </w:p>
        </w:tc>
        <w:tc>
          <w:tcPr>
            <w:tcW w:type="dxa" w:w="21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18–21</w:t>
            </w:r>
          </w:p>
        </w:tc>
        <w:tc>
          <w:tcPr>
            <w:tcW w:type="dxa" w:w="37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M6: accepted live run</w:t>
            </w:r>
          </w:p>
        </w:tc>
      </w:tr>
      <w:tr>
        <w:tc>
          <w:tcPr>
            <w:tcW w:type="dxa" w:w="39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Writing, revision, defence prep</w:t>
            </w:r>
          </w:p>
        </w:tc>
        <w:tc>
          <w:tcPr>
            <w:tcW w:type="dxa" w:w="21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ongoing → 24</w:t>
            </w:r>
          </w:p>
        </w:tc>
        <w:tc>
          <w:tcPr>
            <w:tcW w:type="dxa" w:w="37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M7: submitted thesis</w:t>
            </w:r>
          </w:p>
        </w:tc>
      </w:tr>
    </w:tbl>
    <w:p>
      <w:pPr>
        <w:spacing w:after="130" w:line="276"/>
        <w:jc w:val="both"/>
      </w:pPr>
      <w:r>
        <w:rPr>
          <w:rFonts w:ascii="Georgia" w:cs="Georgia" w:eastAsia="Georgia" w:hAnsi="Georgia"/>
          <w:i/>
          <w:iCs/>
          <w:color w:val="1B2430"/>
          <w:sz w:val="21"/>
          <w:szCs w:val="21"/>
        </w:rPr>
        <w:t xml:space="preserve">Month labels are indicative and should be aligned to the specific programme calendar and supervisor checkpoints. The companion schedule shows overlaps, buffers, and a 16-week compression option.</w:t>
      </w:r>
    </w:p>
    <w:p>
      <w:pPr>
        <w:pStyle w:val="Heading1"/>
        <w:pageBreakBefore/>
        <w:spacing w:after="140" w:before="0"/>
      </w:pPr>
      <w:r>
        <w:rPr>
          <w:rFonts w:ascii="Calibri" w:cs="Calibri" w:eastAsia="Calibri" w:hAnsi="Calibri"/>
          <w:b/>
          <w:bCs/>
          <w:color w:val="5B3E8E"/>
          <w:sz w:val="30"/>
          <w:szCs w:val="30"/>
        </w:rPr>
        <w:t xml:space="preserve">10.  Contributions, Ethics and Risk</w:t>
      </w:r>
    </w:p>
    <w:p>
      <w:pPr>
        <w:pStyle w:val="Heading2"/>
        <w:spacing w:after="90" w:before="240"/>
      </w:pPr>
      <w:r>
        <w:rPr>
          <w:rFonts w:ascii="Calibri" w:cs="Calibri" w:eastAsia="Calibri" w:hAnsi="Calibri"/>
          <w:b/>
          <w:bCs/>
          <w:color w:val="8A4FBE"/>
          <w:sz w:val="25"/>
          <w:szCs w:val="25"/>
        </w:rPr>
        <w:t xml:space="preserve">10.1  Summary of Contributions</w:t>
      </w:r>
    </w:p>
    <w:p>
      <w:pPr>
        <w:pStyle w:val="ListParagraph"/>
        <w:numPr>
          <w:ilvl w:val="0"/>
          <w:numId w:val="3"/>
        </w:numPr>
        <w:spacing w:after="60" w:line="270"/>
        <w:jc w:val="left"/>
      </w:pPr>
      <w:r>
        <w:rPr>
          <w:rFonts w:ascii="Georgia" w:cs="Georgia" w:eastAsia="Georgia" w:hAnsi="Georgia"/>
          <w:b/>
          <w:bCs/>
          <w:color w:val="1B2430"/>
          <w:sz w:val="21"/>
          <w:szCs w:val="21"/>
        </w:rPr>
        <w:t xml:space="preserve">Methodological: </w:t>
      </w:r>
      <w:r>
        <w:rPr>
          <w:rFonts w:ascii="Georgia" w:cs="Georgia" w:eastAsia="Georgia" w:hAnsi="Georgia"/>
          <w:color w:val="1B2430"/>
          <w:sz w:val="21"/>
          <w:szCs w:val="21"/>
        </w:rPr>
        <w:t xml:space="preserve">a fair, CPU-only, leakage-free benchmark with confidence intervals, significance testing, calibration, and explainability.</w:t>
      </w:r>
    </w:p>
    <w:p>
      <w:pPr>
        <w:pStyle w:val="ListParagraph"/>
        <w:numPr>
          <w:ilvl w:val="0"/>
          <w:numId w:val="3"/>
        </w:numPr>
        <w:spacing w:after="60" w:line="270"/>
        <w:jc w:val="left"/>
      </w:pPr>
      <w:r>
        <w:rPr>
          <w:rFonts w:ascii="Georgia" w:cs="Georgia" w:eastAsia="Georgia" w:hAnsi="Georgia"/>
          <w:b/>
          <w:bCs/>
          <w:color w:val="1B2430"/>
          <w:sz w:val="21"/>
          <w:szCs w:val="21"/>
        </w:rPr>
        <w:t xml:space="preserve">Architectural: </w:t>
      </w:r>
      <w:r>
        <w:rPr>
          <w:rFonts w:ascii="Georgia" w:cs="Georgia" w:eastAsia="Georgia" w:hAnsi="Georgia"/>
          <w:color w:val="1B2430"/>
          <w:sz w:val="21"/>
          <w:szCs w:val="21"/>
        </w:rPr>
        <w:t xml:space="preserve">STAN (learned slot aggregation), a gated multi-backbone fusion head, and a context-aware multimodal classifier, each ablated against strong baselines.</w:t>
      </w:r>
    </w:p>
    <w:p>
      <w:pPr>
        <w:pStyle w:val="ListParagraph"/>
        <w:numPr>
          <w:ilvl w:val="0"/>
          <w:numId w:val="3"/>
        </w:numPr>
        <w:spacing w:after="60" w:line="270"/>
        <w:jc w:val="left"/>
      </w:pPr>
      <w:r>
        <w:rPr>
          <w:rFonts w:ascii="Georgia" w:cs="Georgia" w:eastAsia="Georgia" w:hAnsi="Georgia"/>
          <w:b/>
          <w:bCs/>
          <w:color w:val="1B2430"/>
          <w:sz w:val="21"/>
          <w:szCs w:val="21"/>
        </w:rPr>
        <w:t xml:space="preserve">Artefact: </w:t>
      </w:r>
      <w:r>
        <w:rPr>
          <w:rFonts w:ascii="Georgia" w:cs="Georgia" w:eastAsia="Georgia" w:hAnsi="Georgia"/>
          <w:color w:val="1B2430"/>
          <w:sz w:val="21"/>
          <w:szCs w:val="21"/>
        </w:rPr>
        <w:t xml:space="preserve">a documented multi-venue, multi-condition dataset with explicit taxonomy and edge cases.</w:t>
      </w:r>
    </w:p>
    <w:p>
      <w:pPr>
        <w:pStyle w:val="ListParagraph"/>
        <w:numPr>
          <w:ilvl w:val="0"/>
          <w:numId w:val="3"/>
        </w:numPr>
        <w:spacing w:after="60" w:line="270"/>
        <w:jc w:val="left"/>
      </w:pPr>
      <w:r>
        <w:rPr>
          <w:rFonts w:ascii="Georgia" w:cs="Georgia" w:eastAsia="Georgia" w:hAnsi="Georgia"/>
          <w:b/>
          <w:bCs/>
          <w:color w:val="1B2430"/>
          <w:sz w:val="21"/>
          <w:szCs w:val="21"/>
        </w:rPr>
        <w:t xml:space="preserve">Operational: </w:t>
      </w:r>
      <w:r>
        <w:rPr>
          <w:rFonts w:ascii="Georgia" w:cs="Georgia" w:eastAsia="Georgia" w:hAnsi="Georgia"/>
          <w:color w:val="1B2430"/>
          <w:sz w:val="21"/>
          <w:szCs w:val="21"/>
        </w:rPr>
        <w:t xml:space="preserve">a booking-reconciliation / staff-audit layer converting perception into anomaly detection and low-cost re-labelling.</w:t>
      </w:r>
    </w:p>
    <w:p>
      <w:pPr>
        <w:pStyle w:val="Heading2"/>
        <w:spacing w:after="90" w:before="240"/>
      </w:pPr>
      <w:r>
        <w:rPr>
          <w:rFonts w:ascii="Calibri" w:cs="Calibri" w:eastAsia="Calibri" w:hAnsi="Calibri"/>
          <w:b/>
          <w:bCs/>
          <w:color w:val="8A4FBE"/>
          <w:sz w:val="25"/>
          <w:szCs w:val="25"/>
        </w:rPr>
        <w:t xml:space="preserve">10.2  Ethics and Privacy</w:t>
      </w:r>
    </w:p>
    <w:p>
      <w:pPr>
        <w:spacing w:after="130" w:line="276"/>
        <w:jc w:val="both"/>
      </w:pPr>
      <w:r>
        <w:rPr>
          <w:rFonts w:ascii="Georgia" w:cs="Georgia" w:eastAsia="Georgia" w:hAnsi="Georgia"/>
          <w:color w:val="1B2430"/>
          <w:sz w:val="21"/>
          <w:szCs w:val="21"/>
        </w:rPr>
        <w:t xml:space="preserve">The system classifies scene state, not identities: no face recognition or re-identification is performed, and evidence images follow a defined retention policy for audit only. Because reconciliation can implicate individual staff, a human stays in the loop for every anomaly and vision output is decision support, not automated judgement. Data handling, consent, and signage follow applicable workplace-monitoring and data-protection norms, documented in the thesis.</w:t>
      </w:r>
    </w:p>
    <w:p>
      <w:pPr>
        <w:pStyle w:val="Heading2"/>
        <w:spacing w:after="90" w:before="240"/>
      </w:pPr>
      <w:r>
        <w:rPr>
          <w:rFonts w:ascii="Calibri" w:cs="Calibri" w:eastAsia="Calibri" w:hAnsi="Calibri"/>
          <w:b/>
          <w:bCs/>
          <w:color w:val="8A4FBE"/>
          <w:sz w:val="25"/>
          <w:szCs w:val="25"/>
        </w:rPr>
        <w:t xml:space="preserve">10.3  Risk Register</w:t>
      </w:r>
    </w:p>
    <w:tbl>
      <w:tblPr>
        <w:tblW w:type="dxa" w:w="9700"/>
        <w:tblBorders>
          <w:top w:val="single" w:color="C9BFDD" w:sz="4"/>
          <w:left w:val="single" w:color="C9BFDD" w:sz="4"/>
          <w:bottom w:val="single" w:color="C9BFDD" w:sz="4"/>
          <w:right w:val="single" w:color="C9BFDD" w:sz="4"/>
          <w:insideH w:val="single" w:color="C9BFDD" w:sz="4"/>
          <w:insideV w:val="single" w:color="C9BFDD" w:sz="4"/>
        </w:tblBorders>
      </w:tblPr>
      <w:tblGrid>
        <w:gridCol w:w="2600"/>
        <w:gridCol w:w="2400"/>
        <w:gridCol w:w="4700"/>
      </w:tblGrid>
      <w:tr>
        <w:trPr>
          <w:tblHeader/>
        </w:trPr>
        <w:tc>
          <w:tcPr>
            <w:tcW w:type="dxa" w:w="26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Risk</w:t>
            </w:r>
          </w:p>
        </w:tc>
        <w:tc>
          <w:tcPr>
            <w:tcW w:type="dxa" w:w="24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Impact</w:t>
            </w:r>
          </w:p>
        </w:tc>
        <w:tc>
          <w:tcPr>
            <w:tcW w:type="dxa" w:w="4700"/>
            <w:shd w:fill="2E2350"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Mitigation</w:t>
            </w:r>
          </w:p>
        </w:tc>
      </w:tr>
      <w:tr>
        <w:tc>
          <w:tcPr>
            <w:tcW w:type="dxa" w:w="26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Insufficient minority-class data</w:t>
            </w:r>
          </w:p>
        </w:tc>
        <w:tc>
          <w:tcPr>
            <w:tcW w:type="dxa" w:w="2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Weak maintenance-class F1</w:t>
            </w:r>
          </w:p>
        </w:tc>
        <w:tc>
          <w:tcPr>
            <w:tcW w:type="dxa" w:w="47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Prioritised collection windows; class weighting; active sampling</w:t>
            </w:r>
          </w:p>
        </w:tc>
      </w:tr>
      <w:tr>
        <w:tc>
          <w:tcPr>
            <w:tcW w:type="dxa" w:w="26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Licence-gated backbone (DINOv3)</w:t>
            </w:r>
          </w:p>
        </w:tc>
        <w:tc>
          <w:tcPr>
            <w:tcW w:type="dxa" w:w="2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Missed best model</w:t>
            </w:r>
          </w:p>
        </w:tc>
        <w:tc>
          <w:tcPr>
            <w:tcW w:type="dxa" w:w="47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Proceed with four accessible models; add later if access clears</w:t>
            </w:r>
          </w:p>
        </w:tc>
      </w:tr>
      <w:tr>
        <w:tc>
          <w:tcPr>
            <w:tcW w:type="dxa" w:w="26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Poor night/fog footage</w:t>
            </w:r>
          </w:p>
        </w:tc>
        <w:tc>
          <w:tcPr>
            <w:tcW w:type="dxa" w:w="2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Low-confidence slots</w:t>
            </w:r>
          </w:p>
        </w:tc>
        <w:tc>
          <w:tcPr>
            <w:tcW w:type="dxa" w:w="47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Low-light branch; contrast gate to REVIEW; augmentation</w:t>
            </w:r>
          </w:p>
        </w:tc>
      </w:tr>
      <w:tr>
        <w:tc>
          <w:tcPr>
            <w:tcW w:type="dxa" w:w="26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Novel module gives no gain</w:t>
            </w:r>
          </w:p>
        </w:tc>
        <w:tc>
          <w:tcPr>
            <w:tcW w:type="dxa" w:w="2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Weakened novelty claim</w:t>
            </w:r>
          </w:p>
        </w:tc>
        <w:tc>
          <w:tcPr>
            <w:tcW w:type="dxa" w:w="47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Report as a negative result with analysis — still a contribution</w:t>
            </w:r>
          </w:p>
        </w:tc>
      </w:tr>
      <w:tr>
        <w:tc>
          <w:tcPr>
            <w:tcW w:type="dxa" w:w="26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Client data-access limits</w:t>
            </w:r>
          </w:p>
        </w:tc>
        <w:tc>
          <w:tcPr>
            <w:tcW w:type="dxa" w:w="24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Reconciliation blocked</w:t>
            </w:r>
          </w:p>
        </w:tc>
        <w:tc>
          <w:tcPr>
            <w:tcW w:type="dxa" w:w="4700"/>
            <w:shd w:fill="FFFFFF"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Define read-only DB contract early; simulate if needed</w:t>
            </w:r>
          </w:p>
        </w:tc>
      </w:tr>
      <w:tr>
        <w:tc>
          <w:tcPr>
            <w:tcW w:type="dxa" w:w="26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Hardware/site delays</w:t>
            </w:r>
          </w:p>
        </w:tc>
        <w:tc>
          <w:tcPr>
            <w:tcW w:type="dxa" w:w="24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Late live run</w:t>
            </w:r>
          </w:p>
        </w:tc>
        <w:tc>
          <w:tcPr>
            <w:tcW w:type="dxa" w:w="4700"/>
            <w:shd w:fill="F6F3FA" w:color="auto" w:val="clear"/>
            <w:tcMar>
              <w:top w:type="dxa" w:w="50"/>
              <w:left w:type="dxa" w:w="90"/>
              <w:bottom w:type="dxa" w:w="50"/>
              <w:right w:type="dxa" w:w="90"/>
            </w:tcMar>
          </w:tcPr>
          <w:p>
            <w:pPr>
              <w:spacing w:after="0"/>
            </w:pPr>
            <w:r>
              <w:rPr>
                <w:rFonts w:ascii="Georgia" w:cs="Georgia" w:eastAsia="Georgia" w:hAnsi="Georgia"/>
                <w:b w:val="false"/>
                <w:bCs w:val="false"/>
                <w:color w:val="1B2430"/>
                <w:sz w:val="18"/>
                <w:szCs w:val="18"/>
              </w:rPr>
              <w:t xml:space="preserve">API-simulation phase decouples software from hardware</w:t>
            </w:r>
          </w:p>
        </w:tc>
      </w:tr>
    </w:tbl>
    <w:p>
      <w:pPr>
        <w:pStyle w:val="Heading1"/>
        <w:pageBreakBefore/>
        <w:spacing w:after="140" w:before="0"/>
      </w:pPr>
      <w:r>
        <w:rPr>
          <w:rFonts w:ascii="Calibri" w:cs="Calibri" w:eastAsia="Calibri" w:hAnsi="Calibri"/>
          <w:b/>
          <w:bCs/>
          <w:color w:val="5B3E8E"/>
          <w:sz w:val="30"/>
          <w:szCs w:val="30"/>
        </w:rPr>
        <w:t xml:space="preserve">11.  Conclusion</w:t>
      </w:r>
    </w:p>
    <w:p>
      <w:pPr>
        <w:spacing w:after="130" w:line="276"/>
        <w:jc w:val="both"/>
      </w:pPr>
      <w:r>
        <w:rPr>
          <w:rFonts w:ascii="Georgia" w:cs="Georgia" w:eastAsia="Georgia" w:hAnsi="Georgia"/>
          <w:color w:val="1B2430"/>
          <w:sz w:val="21"/>
          <w:szCs w:val="21"/>
        </w:rPr>
        <w:t xml:space="preserve">This plan lays out a complete, defensible master's thesis: a low-bandwidth, CPU-only vision system for multi-pitch occupancy that is feasible (pilot accuracy 98–99% on the primary classifiers), honest about its limits (same-scene evaluation and class imbalance), and directed at closing them through multi-venue data and leakage-free, statistically grounded evaluation. Beyond the benchmark, it proposes and ablates purpose-built edge architectures — a learned slot-temporal aggregator, a gated multi-backbone fusion head, and a context-aware multimodal classifier — giving the work a clear original contribution. Its reconciliation layer, auditing human booking records against machine perception, gives it operational value and a crisp story for examiners and clients alike.</w:t>
      </w:r>
    </w:p>
    <w:p>
      <w:pPr>
        <w:spacing w:after="130" w:line="276"/>
        <w:jc w:val="both"/>
      </w:pPr>
      <w:r>
        <w:rPr>
          <w:rFonts w:ascii="Georgia" w:cs="Georgia" w:eastAsia="Georgia" w:hAnsi="Georgia"/>
          <w:color w:val="1B2430"/>
          <w:sz w:val="21"/>
          <w:szCs w:val="21"/>
        </w:rPr>
        <w:t xml:space="preserve">Delivered together, the benchmark, the novel architectures, the curated dataset, and the reconciliation module form a coherent thesis that is both scientifically rigorous and immediately useful in the field.</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BFDD" w:sz="4" w:space="4"/>
      </w:pBdr>
      <w:jc w:val="center"/>
    </w:pPr>
    <w:r>
      <w:rPr>
        <w:rFonts w:ascii="Calibri" w:cs="Calibri" w:eastAsia="Calibri" w:hAnsi="Calibri"/>
        <w:color w:val="8A82A0"/>
        <w:sz w:val="15"/>
        <w:szCs w:val="15"/>
      </w:rPr>
      <w:t xml:space="preserve">Page </w:t>
    </w:r>
    <w:r>
      <w:rPr>
        <w:rFonts w:ascii="Calibri" w:cs="Calibri" w:eastAsia="Calibri" w:hAnsi="Calibri"/>
        <w:color w:val="8A82A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DD" w:sz="4" w:space="4"/>
      </w:pBdr>
      <w:jc w:val="right"/>
    </w:pPr>
    <w:r>
      <w:rPr>
        <w:rFonts w:ascii="Calibri" w:cs="Calibri" w:eastAsia="Calibri" w:hAnsi="Calibri"/>
        <w:color w:val="8A82A0"/>
        <w:sz w:val="15"/>
        <w:szCs w:val="15"/>
      </w:rPr>
      <w:t xml:space="preserve">Multi-Pitch Occupancy &amp; Booking Verification — Thesis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3E8E"/>
      <w:sz w:val="30"/>
      <w:szCs w:val="30"/>
    </w:rPr>
  </w:style>
  <w:style w:type="paragraph" w:styleId="Heading2">
    <w:name w:val="Heading 2"/>
    <w:basedOn w:val="Normal"/>
    <w:next w:val="Normal"/>
    <w:qFormat/>
    <w:rPr>
      <w:rFonts w:ascii="Calibri" w:cs="Calibri" w:eastAsia="Calibri" w:hAnsi="Calibri"/>
      <w:b/>
      <w:bCs/>
      <w:color w:val="8A4FBE"/>
      <w:sz w:val="25"/>
      <w:szCs w:val="25"/>
    </w:rPr>
  </w:style>
  <w:style w:type="paragraph" w:styleId="Heading3">
    <w:name w:val="Heading 3"/>
    <w:basedOn w:val="Normal"/>
    <w:next w:val="Normal"/>
    <w:qFormat/>
    <w:rPr>
      <w:rFonts w:ascii="Calibri" w:cs="Calibri" w:eastAsia="Calibri" w:hAnsi="Calibri"/>
      <w:b/>
      <w:bCs/>
      <w:color w:val="1B24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Multi-Pitch Occupancy &amp; Booking Verification — Master's Thesis Plan</dc:title>
  <dc:creator>Thesis Plan Generator</dc:creator>
  <cp:lastModifiedBy>Un-named</cp:lastModifiedBy>
  <cp:revision>1</cp:revision>
  <dcterms:created xsi:type="dcterms:W3CDTF">2026-09-05T20:58:59.071Z</dcterms:created>
  <dcterms:modified xsi:type="dcterms:W3CDTF">2026-09-05T20:58:59.072Z</dcterms:modified>
</cp:coreProperties>
</file>

<file path=docProps/custom.xml><?xml version="1.0" encoding="utf-8"?>
<Properties xmlns="http://schemas.openxmlformats.org/officeDocument/2006/custom-properties" xmlns:vt="http://schemas.openxmlformats.org/officeDocument/2006/docPropsVTypes"/>
</file>